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138DB26C"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5545C4">
        <w:rPr>
          <w:rFonts w:ascii="Calibri" w:eastAsia="PMingLiU" w:hAnsi="Calibri" w:cs="Arial"/>
          <w:noProof w:val="0"/>
          <w:sz w:val="24"/>
          <w:szCs w:val="24"/>
          <w:lang w:eastAsia="ja-JP"/>
        </w:rPr>
        <w:t>2</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C62354">
        <w:rPr>
          <w:rFonts w:ascii="Calibri" w:eastAsia="PMingLiU" w:hAnsi="Calibri" w:cs="Arial"/>
          <w:noProof w:val="0"/>
          <w:sz w:val="24"/>
          <w:szCs w:val="24"/>
          <w:lang w:eastAsia="ja-JP"/>
        </w:rPr>
        <w:t>08700</w:t>
      </w:r>
      <w:bookmarkStart w:id="0" w:name="_GoBack"/>
      <w:bookmarkEnd w:id="0"/>
    </w:p>
    <w:p w14:paraId="567129D5" w14:textId="1D9F98E1" w:rsidR="00707672" w:rsidRPr="005545C4" w:rsidRDefault="005545C4" w:rsidP="00707672">
      <w:pPr>
        <w:tabs>
          <w:tab w:val="left" w:pos="1985"/>
        </w:tabs>
        <w:jc w:val="both"/>
        <w:rPr>
          <w:rFonts w:ascii="Calibri" w:eastAsia="PMingLiU" w:hAnsi="Calibri" w:cs="Arial"/>
          <w:b/>
          <w:sz w:val="24"/>
          <w:szCs w:val="24"/>
          <w:lang w:eastAsia="ja-JP"/>
        </w:rPr>
      </w:pPr>
      <w:r w:rsidRPr="005545C4">
        <w:rPr>
          <w:rFonts w:ascii="Calibri" w:eastAsia="PMingLiU" w:hAnsi="Calibri" w:cs="Arial"/>
          <w:b/>
          <w:sz w:val="24"/>
          <w:szCs w:val="24"/>
          <w:lang w:eastAsia="ja-JP"/>
        </w:rPr>
        <w:t>Ljubljana</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SI, 26th–</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30th Aug, 2019</w:t>
      </w:r>
      <w:r w:rsidR="00707672" w:rsidRPr="005545C4">
        <w:rPr>
          <w:rFonts w:ascii="Calibri" w:eastAsia="PMingLiU" w:hAnsi="Calibri" w:cs="Arial"/>
          <w:b/>
          <w:sz w:val="24"/>
          <w:szCs w:val="24"/>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12ECA3A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545C4">
        <w:rPr>
          <w:rFonts w:cs="Arial"/>
          <w:b/>
          <w:bCs/>
        </w:rPr>
        <w:t>9</w:t>
      </w:r>
      <w:r w:rsidR="00BD754F">
        <w:rPr>
          <w:rFonts w:cs="Arial"/>
          <w:b/>
          <w:bCs/>
        </w:rPr>
        <w:t>.4.4</w:t>
      </w:r>
      <w:r w:rsidR="005545C4">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B9A44CA" w:rsidR="00174EC2" w:rsidRDefault="0034111C" w:rsidP="007A4FCF">
      <w:pPr>
        <w:ind w:left="1985" w:hanging="1985"/>
        <w:rPr>
          <w:rFonts w:cs="Arial"/>
          <w:b/>
          <w:bCs/>
        </w:rPr>
      </w:pPr>
      <w:r w:rsidRPr="000C45FD">
        <w:rPr>
          <w:rFonts w:cs="Arial"/>
          <w:b/>
          <w:bCs/>
        </w:rPr>
        <w:t>Title:</w:t>
      </w:r>
      <w:r w:rsidRPr="000C45FD">
        <w:rPr>
          <w:rFonts w:cs="Arial"/>
          <w:b/>
          <w:bCs/>
        </w:rPr>
        <w:tab/>
      </w:r>
      <w:r w:rsidR="00486D1A">
        <w:rPr>
          <w:rFonts w:cs="Arial"/>
          <w:b/>
          <w:bCs/>
        </w:rPr>
        <w:t>D</w:t>
      </w:r>
      <w:r w:rsidR="00C950A9">
        <w:rPr>
          <w:rFonts w:cs="Arial"/>
          <w:b/>
          <w:bCs/>
        </w:rPr>
        <w:t xml:space="preserve">iscussion on </w:t>
      </w:r>
      <w:r w:rsidR="00842EE0">
        <w:rPr>
          <w:rFonts w:cs="Arial"/>
          <w:b/>
          <w:bCs/>
        </w:rPr>
        <w:t xml:space="preserve">NR V2X </w:t>
      </w:r>
      <w:r w:rsidR="00326F33">
        <w:rPr>
          <w:rFonts w:cs="Arial"/>
          <w:b/>
          <w:bCs/>
        </w:rPr>
        <w:t>measurement</w:t>
      </w:r>
      <w:r w:rsidR="00842EE0">
        <w:rPr>
          <w:rFonts w:cs="Arial"/>
          <w:b/>
          <w:bCs/>
        </w:rPr>
        <w:t xml:space="preserve"> requirement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6E66F93C" w14:textId="5ED9F194" w:rsidR="00C13CBB" w:rsidRDefault="00C13CB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legacy LTE, RAN4 RRM defined the requirement for </w:t>
      </w:r>
      <w:r w:rsidR="00F901C4">
        <w:rPr>
          <w:rFonts w:asciiTheme="minorHAnsi" w:eastAsiaTheme="minorEastAsia" w:hAnsiTheme="minorHAnsi" w:cstheme="minorBidi"/>
          <w:color w:val="auto"/>
          <w:sz w:val="22"/>
          <w:szCs w:val="22"/>
        </w:rPr>
        <w:t xml:space="preserve">initiation/cease </w:t>
      </w:r>
      <w:r>
        <w:rPr>
          <w:rFonts w:asciiTheme="minorHAnsi" w:eastAsiaTheme="minorEastAsia" w:hAnsiTheme="minorHAnsi" w:cstheme="minorBidi"/>
          <w:color w:val="auto"/>
          <w:sz w:val="22"/>
          <w:szCs w:val="22"/>
        </w:rPr>
        <w:t xml:space="preserve">of </w:t>
      </w:r>
      <w:r w:rsidR="00F901C4">
        <w:rPr>
          <w:rFonts w:asciiTheme="minorHAnsi" w:eastAsiaTheme="minorEastAsia" w:hAnsiTheme="minorHAnsi" w:cstheme="minorBidi"/>
          <w:color w:val="auto"/>
          <w:sz w:val="22"/>
          <w:szCs w:val="22"/>
        </w:rPr>
        <w:t>SLSS transmission</w:t>
      </w:r>
      <w:r>
        <w:rPr>
          <w:rFonts w:asciiTheme="minorHAnsi" w:eastAsiaTheme="minorEastAsia" w:hAnsiTheme="minorHAnsi" w:cstheme="minorBidi"/>
          <w:color w:val="auto"/>
          <w:sz w:val="22"/>
          <w:szCs w:val="22"/>
        </w:rPr>
        <w:t xml:space="preserve">. V2X UE </w:t>
      </w:r>
      <w:r w:rsidR="00F901C4">
        <w:rPr>
          <w:rFonts w:asciiTheme="minorHAnsi" w:eastAsiaTheme="minorEastAsia" w:hAnsiTheme="minorHAnsi" w:cstheme="minorBidi"/>
          <w:color w:val="auto"/>
          <w:sz w:val="22"/>
          <w:szCs w:val="22"/>
        </w:rPr>
        <w:t>needs to measure RSRP to evaluate whether to initiate/cease SLSS transmission when UE use</w:t>
      </w:r>
      <w:r w:rsidR="006A2588">
        <w:rPr>
          <w:rFonts w:asciiTheme="minorHAnsi" w:eastAsiaTheme="minorEastAsia" w:hAnsiTheme="minorHAnsi" w:cstheme="minorBidi"/>
          <w:color w:val="auto"/>
          <w:sz w:val="22"/>
          <w:szCs w:val="22"/>
        </w:rPr>
        <w:t>s</w:t>
      </w:r>
      <w:r w:rsidR="00F901C4">
        <w:rPr>
          <w:rFonts w:asciiTheme="minorHAnsi" w:eastAsiaTheme="minorEastAsia" w:hAnsiTheme="minorHAnsi" w:cstheme="minorBidi"/>
          <w:color w:val="auto"/>
          <w:sz w:val="22"/>
          <w:szCs w:val="22"/>
        </w:rPr>
        <w:t xml:space="preserve"> serving cell/PCell/GNSS as synchronization reference source. V2X UE needs to measure S-RSRP to evaluate whether to initiate/cease SLSS transmission when UE use SyncRef UE as synchronization reference source.</w:t>
      </w:r>
    </w:p>
    <w:p w14:paraId="2D2999BC" w14:textId="4847AF40" w:rsid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n RAN</w:t>
      </w:r>
      <w:r w:rsidR="00C13CBB">
        <w:rPr>
          <w:rFonts w:asciiTheme="minorHAnsi" w:eastAsiaTheme="minorEastAsia" w:hAnsiTheme="minorHAnsi" w:cstheme="minorBidi"/>
          <w:color w:val="auto"/>
          <w:sz w:val="22"/>
          <w:szCs w:val="22"/>
        </w:rPr>
        <w:t>1</w:t>
      </w:r>
      <w:r w:rsidRPr="00842EE0">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#96</w:t>
      </w:r>
      <w:r w:rsidRPr="00842EE0">
        <w:rPr>
          <w:rFonts w:asciiTheme="minorHAnsi" w:eastAsiaTheme="minorEastAsia" w:hAnsiTheme="minorHAnsi" w:cstheme="minorBidi" w:hint="eastAsia"/>
          <w:color w:val="auto"/>
          <w:sz w:val="22"/>
          <w:szCs w:val="22"/>
        </w:rPr>
        <w:t xml:space="preserve"> meeting,</w:t>
      </w:r>
      <w:r w:rsidR="00C13CBB">
        <w:rPr>
          <w:rFonts w:asciiTheme="minorHAnsi" w:eastAsiaTheme="minorEastAsia" w:hAnsiTheme="minorHAnsi" w:cstheme="minorBidi"/>
          <w:color w:val="auto"/>
          <w:sz w:val="22"/>
          <w:szCs w:val="22"/>
        </w:rPr>
        <w:t xml:space="preserve"> </w:t>
      </w:r>
      <w:r w:rsidR="00C13CBB">
        <w:rPr>
          <w:rFonts w:asciiTheme="minorHAnsi" w:eastAsiaTheme="minorEastAsia" w:hAnsiTheme="minorHAnsi" w:cstheme="minorBidi" w:hint="eastAsia"/>
          <w:color w:val="auto"/>
          <w:sz w:val="22"/>
          <w:szCs w:val="22"/>
        </w:rPr>
        <w:t xml:space="preserve">the </w:t>
      </w:r>
      <w:r w:rsidR="00C13CBB">
        <w:rPr>
          <w:rFonts w:asciiTheme="minorHAnsi" w:eastAsiaTheme="minorEastAsia" w:hAnsiTheme="minorHAnsi" w:cstheme="minorBidi"/>
          <w:color w:val="auto"/>
          <w:sz w:val="22"/>
          <w:szCs w:val="22"/>
        </w:rPr>
        <w:t>synchronization</w:t>
      </w:r>
      <w:r w:rsidR="00C13CBB">
        <w:rPr>
          <w:rFonts w:asciiTheme="minorHAnsi" w:eastAsiaTheme="minorEastAsia" w:hAnsiTheme="minorHAnsi" w:cstheme="minorBidi" w:hint="eastAsia"/>
          <w:color w:val="auto"/>
          <w:sz w:val="22"/>
          <w:szCs w:val="22"/>
        </w:rPr>
        <w:t xml:space="preserve"> </w:t>
      </w:r>
      <w:r w:rsidR="00C13CBB">
        <w:rPr>
          <w:rFonts w:asciiTheme="minorHAnsi" w:eastAsiaTheme="minorEastAsia" w:hAnsiTheme="minorHAnsi" w:cstheme="minorBidi"/>
          <w:color w:val="auto"/>
          <w:sz w:val="22"/>
          <w:szCs w:val="22"/>
        </w:rPr>
        <w:t xml:space="preserve">reference source priority rules </w:t>
      </w:r>
      <w:r w:rsidR="00C13CBB" w:rsidRPr="00C13CBB">
        <w:rPr>
          <w:rFonts w:asciiTheme="minorHAnsi" w:eastAsiaTheme="minorEastAsia" w:hAnsiTheme="minorHAnsi" w:cstheme="minorBidi"/>
          <w:color w:val="auto"/>
          <w:sz w:val="22"/>
          <w:szCs w:val="22"/>
        </w:rPr>
        <w:t xml:space="preserve">have been </w:t>
      </w:r>
      <w:r w:rsidR="00C13CBB">
        <w:rPr>
          <w:rFonts w:asciiTheme="minorHAnsi" w:eastAsiaTheme="minorEastAsia" w:hAnsiTheme="minorHAnsi" w:cstheme="minorBidi"/>
          <w:color w:val="auto"/>
          <w:sz w:val="22"/>
          <w:szCs w:val="22"/>
        </w:rPr>
        <w:t>agreed</w:t>
      </w:r>
      <w:r w:rsidR="00C13CBB" w:rsidRPr="00C13CBB">
        <w:rPr>
          <w:rFonts w:asciiTheme="minorHAnsi" w:eastAsiaTheme="minorEastAsia" w:hAnsiTheme="minorHAnsi" w:cstheme="minorBidi"/>
          <w:color w:val="auto"/>
          <w:sz w:val="22"/>
          <w:szCs w:val="22"/>
        </w:rPr>
        <w:t xml:space="preserve"> on sidelink synchronization mechanism</w:t>
      </w:r>
      <w:r>
        <w:rPr>
          <w:rFonts w:asciiTheme="minorHAnsi" w:eastAsiaTheme="minorEastAsia" w:hAnsiTheme="minorHAnsi" w:cstheme="minorBidi"/>
          <w:color w:val="auto"/>
          <w:sz w:val="22"/>
          <w:szCs w:val="22"/>
        </w:rPr>
        <w:t>.</w:t>
      </w:r>
    </w:p>
    <w:tbl>
      <w:tblPr>
        <w:tblStyle w:val="af4"/>
        <w:tblW w:w="0" w:type="auto"/>
        <w:tblLook w:val="04A0" w:firstRow="1" w:lastRow="0" w:firstColumn="1" w:lastColumn="0" w:noHBand="0" w:noVBand="1"/>
      </w:tblPr>
      <w:tblGrid>
        <w:gridCol w:w="9629"/>
      </w:tblGrid>
      <w:tr w:rsidR="00C13CBB" w14:paraId="409851F4" w14:textId="77777777" w:rsidTr="00C13CBB">
        <w:tc>
          <w:tcPr>
            <w:tcW w:w="9629" w:type="dxa"/>
          </w:tcPr>
          <w:p w14:paraId="6B7883C2" w14:textId="0D13CBDD" w:rsidR="00C13CBB" w:rsidRPr="00570BEB" w:rsidRDefault="00C13CBB" w:rsidP="00C13CBB">
            <w:pPr>
              <w:rPr>
                <w:lang w:eastAsia="x-none"/>
              </w:rPr>
            </w:pPr>
            <w:r>
              <w:rPr>
                <w:highlight w:val="green"/>
                <w:lang w:eastAsia="x-none"/>
              </w:rPr>
              <w:t xml:space="preserve">RAN1 #96 </w:t>
            </w:r>
            <w:r w:rsidRPr="00A06DFE">
              <w:rPr>
                <w:highlight w:val="green"/>
                <w:lang w:eastAsia="x-none"/>
              </w:rPr>
              <w:t>Agreements</w:t>
            </w:r>
            <w:r>
              <w:rPr>
                <w:lang w:eastAsia="x-none"/>
              </w:rPr>
              <w:t>:</w:t>
            </w:r>
          </w:p>
          <w:p w14:paraId="0963A88F" w14:textId="77777777" w:rsidR="00C13CBB" w:rsidRPr="00C13CBB" w:rsidRDefault="00C13CBB" w:rsidP="00C13CBB">
            <w:pPr>
              <w:pStyle w:val="af7"/>
              <w:numPr>
                <w:ilvl w:val="0"/>
                <w:numId w:val="40"/>
              </w:numPr>
              <w:spacing w:after="0" w:line="276" w:lineRule="auto"/>
              <w:jc w:val="both"/>
              <w:rPr>
                <w:rFonts w:eastAsia="等线"/>
                <w:lang w:eastAsia="zh-CN"/>
              </w:rPr>
            </w:pPr>
            <w:r w:rsidRPr="00C13CBB">
              <w:rPr>
                <w:rFonts w:eastAsia="等线"/>
                <w:lang w:eastAsia="zh-CN"/>
              </w:rPr>
              <w:t xml:space="preserve">Whether GNSS-based synchronization or gNB/eNB-based synchronization is used is (pre)-configured.  </w:t>
            </w:r>
          </w:p>
          <w:p w14:paraId="520C0821" w14:textId="41D3C962" w:rsidR="00C13CBB" w:rsidRPr="00C13CBB" w:rsidRDefault="00C13CBB" w:rsidP="00C13CBB">
            <w:pPr>
              <w:pStyle w:val="af7"/>
              <w:numPr>
                <w:ilvl w:val="1"/>
                <w:numId w:val="40"/>
              </w:numPr>
              <w:spacing w:after="0" w:line="276" w:lineRule="auto"/>
              <w:ind w:left="720"/>
              <w:jc w:val="both"/>
              <w:rPr>
                <w:rFonts w:eastAsia="等线"/>
                <w:b/>
                <w:i/>
                <w:lang w:eastAsia="zh-CN"/>
              </w:rPr>
            </w:pPr>
            <w:r w:rsidRPr="00C13CBB">
              <w:rPr>
                <w:rFonts w:eastAsia="等线"/>
                <w:lang w:eastAsia="zh-CN"/>
              </w:rPr>
              <w:t xml:space="preserve">The following table is a </w:t>
            </w:r>
            <w:r w:rsidRPr="00C13CBB">
              <w:rPr>
                <w:rFonts w:eastAsia="等线"/>
                <w:highlight w:val="darkYellow"/>
                <w:lang w:eastAsia="zh-CN"/>
              </w:rPr>
              <w:t>working assumption</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88"/>
              <w:gridCol w:w="4286"/>
            </w:tblGrid>
            <w:tr w:rsidR="00C13CBB" w:rsidRPr="00A21A34" w14:paraId="1AAAC9F8"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164C4B2C"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GNSS-based synchronization</w:t>
                  </w:r>
                </w:p>
              </w:tc>
              <w:tc>
                <w:tcPr>
                  <w:tcW w:w="4286" w:type="dxa"/>
                  <w:shd w:val="clear" w:color="auto" w:fill="auto"/>
                  <w:tcMar>
                    <w:top w:w="15" w:type="dxa"/>
                    <w:left w:w="108" w:type="dxa"/>
                    <w:bottom w:w="0" w:type="dxa"/>
                    <w:right w:w="108" w:type="dxa"/>
                  </w:tcMar>
                  <w:vAlign w:val="center"/>
                </w:tcPr>
                <w:p w14:paraId="07EC98B3" w14:textId="77777777" w:rsidR="00C13CBB" w:rsidRPr="00A21A34" w:rsidRDefault="00C13CBB" w:rsidP="00C13CBB">
                  <w:pPr>
                    <w:pStyle w:val="TAH"/>
                    <w:adjustRightInd w:val="0"/>
                    <w:snapToGrid w:val="0"/>
                    <w:rPr>
                      <w:rFonts w:ascii="Times New Roman" w:eastAsia="等线" w:hAnsi="Times New Roman"/>
                      <w:sz w:val="20"/>
                    </w:rPr>
                  </w:pPr>
                  <w:r w:rsidRPr="00A21A34">
                    <w:rPr>
                      <w:rFonts w:ascii="Times New Roman" w:eastAsia="等线" w:hAnsi="Times New Roman"/>
                      <w:sz w:val="20"/>
                    </w:rPr>
                    <w:t>gNB/eNB-based synchronization</w:t>
                  </w:r>
                </w:p>
              </w:tc>
            </w:tr>
            <w:tr w:rsidR="00C13CBB" w:rsidRPr="00A21A34" w14:paraId="19869520" w14:textId="77777777" w:rsidTr="00C13CBB">
              <w:trPr>
                <w:trHeight w:val="17"/>
                <w:jc w:val="center"/>
              </w:trPr>
              <w:tc>
                <w:tcPr>
                  <w:tcW w:w="4388" w:type="dxa"/>
                  <w:shd w:val="clear" w:color="auto" w:fill="auto"/>
                  <w:tcMar>
                    <w:top w:w="15" w:type="dxa"/>
                    <w:left w:w="108" w:type="dxa"/>
                    <w:bottom w:w="0" w:type="dxa"/>
                    <w:right w:w="108" w:type="dxa"/>
                  </w:tcMar>
                  <w:vAlign w:val="center"/>
                </w:tcPr>
                <w:p w14:paraId="2512F8C0"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P0: GNSS </w:t>
                  </w:r>
                </w:p>
                <w:p w14:paraId="63DDA66E"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P1: the following UE has the same priority: </w:t>
                  </w:r>
                </w:p>
                <w:p w14:paraId="4946AB25" w14:textId="77777777" w:rsidR="00C13CBB" w:rsidRPr="00A21A34" w:rsidRDefault="00C13CBB" w:rsidP="00C13CBB">
                  <w:pPr>
                    <w:numPr>
                      <w:ilvl w:val="0"/>
                      <w:numId w:val="39"/>
                    </w:numPr>
                    <w:adjustRightInd w:val="0"/>
                    <w:snapToGrid w:val="0"/>
                    <w:spacing w:after="0" w:line="240" w:lineRule="auto"/>
                    <w:jc w:val="both"/>
                    <w:rPr>
                      <w:rFonts w:eastAsia="等线"/>
                    </w:rPr>
                  </w:pPr>
                  <w:r w:rsidRPr="00A21A34">
                    <w:rPr>
                      <w:rFonts w:eastAsia="等线"/>
                    </w:rPr>
                    <w:t xml:space="preserve">UE directly synchronized to GNSS </w:t>
                  </w:r>
                </w:p>
                <w:p w14:paraId="37207479"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 xml:space="preserve">P2: the following UE has the same priority: </w:t>
                  </w:r>
                </w:p>
                <w:p w14:paraId="73210B1D" w14:textId="77777777" w:rsidR="00C13CBB" w:rsidRPr="00A21A34" w:rsidRDefault="00C13CBB" w:rsidP="00C13CBB">
                  <w:pPr>
                    <w:numPr>
                      <w:ilvl w:val="0"/>
                      <w:numId w:val="39"/>
                    </w:numPr>
                    <w:adjustRightInd w:val="0"/>
                    <w:snapToGrid w:val="0"/>
                    <w:spacing w:after="0" w:line="240" w:lineRule="auto"/>
                    <w:jc w:val="both"/>
                    <w:rPr>
                      <w:rFonts w:eastAsia="等线"/>
                    </w:rPr>
                  </w:pPr>
                  <w:r w:rsidRPr="00A21A34">
                    <w:rPr>
                      <w:rFonts w:eastAsia="等线"/>
                    </w:rPr>
                    <w:t>UE indirectly synchronized to GNSS</w:t>
                  </w:r>
                </w:p>
                <w:p w14:paraId="55B44A79" w14:textId="77777777" w:rsidR="00C13CBB" w:rsidRPr="00A21A34" w:rsidRDefault="00C13CBB" w:rsidP="00C13CBB">
                  <w:pPr>
                    <w:numPr>
                      <w:ilvl w:val="0"/>
                      <w:numId w:val="39"/>
                    </w:numPr>
                    <w:tabs>
                      <w:tab w:val="left" w:pos="284"/>
                    </w:tabs>
                    <w:adjustRightInd w:val="0"/>
                    <w:snapToGrid w:val="0"/>
                    <w:spacing w:after="0" w:line="240" w:lineRule="auto"/>
                    <w:ind w:hanging="720"/>
                    <w:jc w:val="both"/>
                    <w:rPr>
                      <w:rFonts w:eastAsia="等线"/>
                    </w:rPr>
                  </w:pPr>
                  <w:r w:rsidRPr="00A21A34">
                    <w:rPr>
                      <w:rFonts w:eastAsia="等线"/>
                    </w:rPr>
                    <w:t>P3: the remaining UEs have the lowest priority.</w:t>
                  </w:r>
                </w:p>
              </w:tc>
              <w:tc>
                <w:tcPr>
                  <w:tcW w:w="4286" w:type="dxa"/>
                  <w:shd w:val="clear" w:color="auto" w:fill="auto"/>
                  <w:tcMar>
                    <w:top w:w="15" w:type="dxa"/>
                    <w:left w:w="108" w:type="dxa"/>
                    <w:bottom w:w="0" w:type="dxa"/>
                    <w:right w:w="108" w:type="dxa"/>
                  </w:tcMar>
                  <w:vAlign w:val="center"/>
                </w:tcPr>
                <w:p w14:paraId="0099F660"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P0: gNB/eNB</w:t>
                  </w:r>
                </w:p>
                <w:p w14:paraId="2D8D825D"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P1’: UE directly synchronized to gNB/eNB </w:t>
                  </w:r>
                </w:p>
                <w:p w14:paraId="28CEFA30"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P2’: UE indirectly synchronized to gNB/eNB </w:t>
                  </w:r>
                </w:p>
                <w:p w14:paraId="2760BE98"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P3’: GNSS </w:t>
                  </w:r>
                </w:p>
                <w:p w14:paraId="457CA36C"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P4’: UE directly synchronized to GNSS </w:t>
                  </w:r>
                </w:p>
                <w:p w14:paraId="59965264"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P5’: UE indirectly synchronized to GNSS</w:t>
                  </w:r>
                </w:p>
                <w:p w14:paraId="76E3BAEA" w14:textId="77777777" w:rsidR="00C13CBB" w:rsidRPr="00A21A34" w:rsidRDefault="00C13CBB" w:rsidP="00C13CBB">
                  <w:pPr>
                    <w:numPr>
                      <w:ilvl w:val="0"/>
                      <w:numId w:val="39"/>
                    </w:numPr>
                    <w:tabs>
                      <w:tab w:val="left" w:pos="317"/>
                    </w:tabs>
                    <w:adjustRightInd w:val="0"/>
                    <w:snapToGrid w:val="0"/>
                    <w:spacing w:after="0" w:line="240" w:lineRule="auto"/>
                    <w:ind w:left="317" w:hanging="283"/>
                    <w:jc w:val="both"/>
                    <w:rPr>
                      <w:rFonts w:eastAsia="等线"/>
                    </w:rPr>
                  </w:pPr>
                  <w:r w:rsidRPr="00A21A34">
                    <w:rPr>
                      <w:rFonts w:eastAsia="等线"/>
                    </w:rPr>
                    <w:t xml:space="preserve">P6’: the remaining UEs have the lowest priority. </w:t>
                  </w:r>
                </w:p>
              </w:tc>
            </w:tr>
          </w:tbl>
          <w:p w14:paraId="58DD65D4" w14:textId="77777777" w:rsidR="00C13CBB" w:rsidRDefault="00C13CBB" w:rsidP="00BD754F">
            <w:pPr>
              <w:pStyle w:val="Default"/>
              <w:jc w:val="both"/>
              <w:rPr>
                <w:rFonts w:asciiTheme="minorHAnsi" w:eastAsiaTheme="minorEastAsia" w:hAnsiTheme="minorHAnsi" w:cstheme="minorBidi"/>
                <w:color w:val="auto"/>
                <w:sz w:val="22"/>
                <w:szCs w:val="22"/>
              </w:rPr>
            </w:pPr>
          </w:p>
        </w:tc>
      </w:tr>
    </w:tbl>
    <w:p w14:paraId="6F2EEB91" w14:textId="77777777" w:rsidR="00C13CBB" w:rsidRDefault="00C13CBB" w:rsidP="00BD754F">
      <w:pPr>
        <w:pStyle w:val="Default"/>
        <w:jc w:val="both"/>
        <w:rPr>
          <w:rFonts w:asciiTheme="minorHAnsi" w:eastAsiaTheme="minorEastAsia" w:hAnsiTheme="minorHAnsi" w:cstheme="minorBidi"/>
          <w:color w:val="auto"/>
          <w:sz w:val="22"/>
          <w:szCs w:val="22"/>
        </w:rPr>
      </w:pPr>
    </w:p>
    <w:p w14:paraId="5E7E7A98" w14:textId="6CF42341" w:rsidR="00691A69" w:rsidRPr="00842EE0" w:rsidRDefault="00794363"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t>
      </w:r>
      <w:r>
        <w:rPr>
          <w:rFonts w:asciiTheme="minorHAnsi" w:eastAsiaTheme="minorEastAsia" w:hAnsiTheme="minorHAnsi" w:cstheme="minorBidi"/>
          <w:color w:val="auto"/>
          <w:sz w:val="22"/>
          <w:szCs w:val="22"/>
        </w:rPr>
        <w:t xml:space="preserve">firstly, </w:t>
      </w:r>
      <w:r w:rsidRPr="00842EE0">
        <w:rPr>
          <w:rFonts w:asciiTheme="minorHAnsi" w:eastAsiaTheme="minorEastAsia" w:hAnsiTheme="minorHAnsi" w:cstheme="minorBidi"/>
          <w:color w:val="auto"/>
          <w:sz w:val="22"/>
          <w:szCs w:val="22"/>
        </w:rPr>
        <w:t xml:space="preserve">we </w:t>
      </w:r>
      <w:r>
        <w:rPr>
          <w:rFonts w:asciiTheme="minorHAnsi" w:eastAsiaTheme="minorEastAsia" w:hAnsiTheme="minorHAnsi" w:cstheme="minorBidi"/>
          <w:color w:val="auto"/>
          <w:sz w:val="22"/>
          <w:szCs w:val="22"/>
        </w:rPr>
        <w:t xml:space="preserve">initiate the </w:t>
      </w:r>
      <w:r w:rsidRPr="00842EE0">
        <w:rPr>
          <w:rFonts w:asciiTheme="minorHAnsi" w:eastAsiaTheme="minorEastAsia" w:hAnsiTheme="minorHAnsi" w:cstheme="minorBidi"/>
          <w:color w:val="auto"/>
          <w:sz w:val="22"/>
          <w:szCs w:val="22"/>
        </w:rPr>
        <w:t>discuss</w:t>
      </w:r>
      <w:r>
        <w:rPr>
          <w:rFonts w:asciiTheme="minorHAnsi" w:eastAsiaTheme="minorEastAsia" w:hAnsiTheme="minorHAnsi" w:cstheme="minorBidi"/>
          <w:color w:val="auto"/>
          <w:sz w:val="22"/>
          <w:szCs w:val="22"/>
        </w:rPr>
        <w:t>ion</w:t>
      </w:r>
      <w:r w:rsidRPr="00842EE0">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 xml:space="preserve">about the </w:t>
      </w:r>
      <w:r w:rsidRPr="00842EE0">
        <w:rPr>
          <w:rFonts w:asciiTheme="minorHAnsi" w:eastAsiaTheme="minorEastAsia" w:hAnsiTheme="minorHAnsi" w:cstheme="minorBidi"/>
          <w:color w:val="auto"/>
          <w:sz w:val="22"/>
          <w:szCs w:val="22"/>
        </w:rPr>
        <w:t xml:space="preserve">RAN4 </w:t>
      </w:r>
      <w:r>
        <w:rPr>
          <w:rFonts w:asciiTheme="minorHAnsi" w:eastAsiaTheme="minorEastAsia" w:hAnsiTheme="minorHAnsi" w:cstheme="minorBidi"/>
          <w:color w:val="auto"/>
          <w:sz w:val="22"/>
          <w:szCs w:val="22"/>
        </w:rPr>
        <w:t xml:space="preserve">specification impact of </w:t>
      </w:r>
      <w:r w:rsidR="00F901C4">
        <w:rPr>
          <w:rFonts w:asciiTheme="minorHAnsi" w:eastAsiaTheme="minorEastAsia" w:hAnsiTheme="minorHAnsi" w:cstheme="minorBidi"/>
          <w:color w:val="auto"/>
          <w:sz w:val="22"/>
          <w:szCs w:val="22"/>
        </w:rPr>
        <w:t>initiation/cease of SLSS transmission</w:t>
      </w:r>
      <w:r w:rsidRPr="00842EE0">
        <w:rPr>
          <w:rFonts w:asciiTheme="minorHAnsi" w:eastAsiaTheme="minorEastAsia" w:hAnsiTheme="minorHAnsi" w:cstheme="minorBidi"/>
          <w:color w:val="auto"/>
          <w:sz w:val="22"/>
          <w:szCs w:val="22"/>
        </w:rPr>
        <w:t xml:space="preserve"> </w:t>
      </w:r>
      <w:r>
        <w:rPr>
          <w:rFonts w:asciiTheme="minorHAnsi" w:eastAsiaTheme="minorEastAsia" w:hAnsiTheme="minorHAnsi" w:cstheme="minorBidi"/>
          <w:color w:val="auto"/>
          <w:sz w:val="22"/>
          <w:szCs w:val="22"/>
        </w:rPr>
        <w:t>based on the newest RAN1’s agreement</w:t>
      </w:r>
      <w:r w:rsidRPr="00842EE0">
        <w:rPr>
          <w:rFonts w:asciiTheme="minorHAnsi" w:eastAsiaTheme="minorEastAsia" w:hAnsiTheme="minorHAnsi" w:cstheme="minorBidi"/>
          <w:color w:val="auto"/>
          <w:sz w:val="22"/>
          <w:szCs w:val="22"/>
        </w:rPr>
        <w:t>.</w:t>
      </w:r>
      <w:r>
        <w:rPr>
          <w:rFonts w:asciiTheme="minorHAnsi" w:eastAsiaTheme="minorEastAsia" w:hAnsiTheme="minorHAnsi" w:cstheme="minorBidi"/>
          <w:color w:val="auto"/>
          <w:sz w:val="22"/>
          <w:szCs w:val="22"/>
        </w:rPr>
        <w:t xml:space="preserve"> Next, we discuss the </w:t>
      </w:r>
      <w:r w:rsidR="00F901C4">
        <w:rPr>
          <w:rFonts w:asciiTheme="minorHAnsi" w:eastAsiaTheme="minorEastAsia" w:hAnsiTheme="minorHAnsi" w:cstheme="minorBidi"/>
          <w:color w:val="auto"/>
          <w:sz w:val="22"/>
          <w:szCs w:val="22"/>
        </w:rPr>
        <w:t>definition of</w:t>
      </w:r>
      <w:r>
        <w:rPr>
          <w:rFonts w:asciiTheme="minorHAnsi" w:eastAsiaTheme="minorEastAsia" w:hAnsiTheme="minorHAnsi" w:cstheme="minorBidi"/>
          <w:color w:val="auto"/>
          <w:sz w:val="22"/>
          <w:szCs w:val="22"/>
        </w:rPr>
        <w:t xml:space="preserve"> S-</w:t>
      </w:r>
      <w:r w:rsidR="00F901C4">
        <w:rPr>
          <w:rFonts w:asciiTheme="minorHAnsi" w:eastAsiaTheme="minorEastAsia" w:hAnsiTheme="minorHAnsi" w:cstheme="minorBidi"/>
          <w:color w:val="auto"/>
          <w:sz w:val="22"/>
          <w:szCs w:val="22"/>
        </w:rPr>
        <w:t>RSRP</w:t>
      </w:r>
      <w:r>
        <w:rPr>
          <w:rFonts w:asciiTheme="minorHAnsi" w:eastAsiaTheme="minorEastAsia" w:hAnsiTheme="minorHAnsi" w:cstheme="minorBidi"/>
          <w:color w:val="auto"/>
          <w:sz w:val="22"/>
          <w:szCs w:val="22"/>
        </w:rPr>
        <w:t xml:space="preserve"> and also give some initial simulation results. Finally, we will discuss the impact of </w:t>
      </w:r>
      <w:r w:rsidR="00F901C4">
        <w:rPr>
          <w:rFonts w:asciiTheme="minorHAnsi" w:eastAsiaTheme="minorEastAsia" w:hAnsiTheme="minorHAnsi" w:cstheme="minorBidi"/>
          <w:color w:val="auto"/>
          <w:sz w:val="22"/>
          <w:szCs w:val="22"/>
        </w:rPr>
        <w:t>autonomous resource reselection</w:t>
      </w:r>
      <w:r>
        <w:rPr>
          <w:rFonts w:asciiTheme="minorHAnsi" w:eastAsiaTheme="minorEastAsia" w:hAnsiTheme="minorHAnsi" w:cstheme="minorBidi"/>
          <w:color w:val="auto"/>
          <w:sz w:val="22"/>
          <w:szCs w:val="22"/>
        </w:rPr>
        <w:t xml:space="preserve"> </w:t>
      </w:r>
      <w:r w:rsidR="00F901C4">
        <w:rPr>
          <w:rFonts w:asciiTheme="minorHAnsi" w:eastAsiaTheme="minorEastAsia" w:hAnsiTheme="minorHAnsi" w:cstheme="minorBidi"/>
          <w:color w:val="auto"/>
          <w:sz w:val="22"/>
          <w:szCs w:val="22"/>
        </w:rPr>
        <w:t>with the measurement</w:t>
      </w:r>
      <w:r>
        <w:rPr>
          <w:rFonts w:asciiTheme="minorHAnsi" w:eastAsiaTheme="minorEastAsia" w:hAnsiTheme="minorHAnsi" w:cstheme="minorBidi"/>
          <w:color w:val="auto"/>
          <w:sz w:val="22"/>
          <w:szCs w:val="22"/>
        </w:rPr>
        <w:t>.</w:t>
      </w:r>
    </w:p>
    <w:p w14:paraId="27E8BB4E" w14:textId="3B0B9B89" w:rsidR="00783D20" w:rsidRDefault="00F901C4" w:rsidP="00783D20">
      <w:pPr>
        <w:pStyle w:val="1"/>
        <w:numPr>
          <w:ilvl w:val="0"/>
          <w:numId w:val="2"/>
        </w:numPr>
        <w:rPr>
          <w:rFonts w:ascii="Calibri" w:hAnsi="Calibri"/>
        </w:rPr>
      </w:pPr>
      <w:r>
        <w:rPr>
          <w:rFonts w:ascii="Calibri" w:hAnsi="Calibri"/>
        </w:rPr>
        <w:t>I</w:t>
      </w:r>
      <w:r w:rsidRPr="00F901C4">
        <w:rPr>
          <w:rFonts w:ascii="Calibri" w:hAnsi="Calibri"/>
        </w:rPr>
        <w:t>nitiation/cease of SLSS transmission</w:t>
      </w:r>
    </w:p>
    <w:p w14:paraId="33A91818" w14:textId="4C120425" w:rsidR="001300E3" w:rsidRDefault="001300E3" w:rsidP="00CC198B">
      <w:pPr>
        <w:jc w:val="both"/>
      </w:pPr>
      <w:r w:rsidRPr="001300E3">
        <w:t xml:space="preserve">Firstly, </w:t>
      </w:r>
      <w:r>
        <w:t xml:space="preserve">RAN4 should </w:t>
      </w:r>
      <w:r w:rsidR="00E74ECD">
        <w:t xml:space="preserve">wait RAN4 RF session and RAN1 to </w:t>
      </w:r>
      <w:r>
        <w:t xml:space="preserve">identify which </w:t>
      </w:r>
      <w:r w:rsidR="00E74ECD">
        <w:t xml:space="preserve">following </w:t>
      </w:r>
      <w:r>
        <w:t xml:space="preserve">scenarios should be discussed in </w:t>
      </w:r>
      <w:r w:rsidR="00E74ECD">
        <w:t>RRM</w:t>
      </w:r>
      <w:r>
        <w:t xml:space="preserve"> requirement.</w:t>
      </w:r>
    </w:p>
    <w:p w14:paraId="5F2CE8C4" w14:textId="7E25A914" w:rsidR="00E74ECD" w:rsidRDefault="00E74ECD" w:rsidP="00E74ECD">
      <w:pPr>
        <w:pStyle w:val="af3"/>
        <w:numPr>
          <w:ilvl w:val="0"/>
          <w:numId w:val="40"/>
        </w:numPr>
        <w:jc w:val="both"/>
      </w:pPr>
      <w:r>
        <w:t>V2X UE sidelink working on dedicated carrier</w:t>
      </w:r>
    </w:p>
    <w:p w14:paraId="720D6B01" w14:textId="77777777" w:rsidR="00E76CDF" w:rsidRPr="001300E3" w:rsidRDefault="00842908" w:rsidP="00E74ECD">
      <w:pPr>
        <w:pStyle w:val="af3"/>
        <w:numPr>
          <w:ilvl w:val="1"/>
          <w:numId w:val="40"/>
        </w:numPr>
        <w:jc w:val="both"/>
      </w:pPr>
      <w:r w:rsidRPr="001300E3">
        <w:t>InC UE directly sync. with gNB</w:t>
      </w:r>
    </w:p>
    <w:p w14:paraId="0466D687" w14:textId="1372AC6C" w:rsidR="001300E3" w:rsidRDefault="001300E3" w:rsidP="00E74ECD">
      <w:pPr>
        <w:pStyle w:val="af3"/>
        <w:numPr>
          <w:ilvl w:val="1"/>
          <w:numId w:val="40"/>
        </w:numPr>
        <w:jc w:val="both"/>
      </w:pPr>
      <w:r w:rsidRPr="001300E3">
        <w:t>InC UE directly sync. with</w:t>
      </w:r>
      <w:r>
        <w:t xml:space="preserve"> eNB</w:t>
      </w:r>
    </w:p>
    <w:p w14:paraId="69B6589F" w14:textId="3D671AA3" w:rsidR="001300E3" w:rsidRDefault="001300E3" w:rsidP="00E74ECD">
      <w:pPr>
        <w:pStyle w:val="af3"/>
        <w:numPr>
          <w:ilvl w:val="1"/>
          <w:numId w:val="40"/>
        </w:numPr>
        <w:jc w:val="both"/>
      </w:pPr>
      <w:r>
        <w:t xml:space="preserve">InC UE </w:t>
      </w:r>
      <w:r w:rsidRPr="001300E3">
        <w:t>directly sync. with</w:t>
      </w:r>
      <w:r>
        <w:t xml:space="preserve"> GNSS</w:t>
      </w:r>
    </w:p>
    <w:p w14:paraId="5879950A" w14:textId="61D083E1" w:rsidR="001300E3" w:rsidRDefault="001300E3" w:rsidP="00E74ECD">
      <w:pPr>
        <w:pStyle w:val="af3"/>
        <w:numPr>
          <w:ilvl w:val="1"/>
          <w:numId w:val="40"/>
        </w:numPr>
        <w:jc w:val="both"/>
      </w:pPr>
      <w:r>
        <w:t xml:space="preserve">OoC UE </w:t>
      </w:r>
      <w:r w:rsidRPr="001300E3">
        <w:t>directly sync. with</w:t>
      </w:r>
      <w:r>
        <w:t xml:space="preserve"> GNSS</w:t>
      </w:r>
    </w:p>
    <w:p w14:paraId="1F2DB717" w14:textId="40AA28CD" w:rsidR="00E74ECD" w:rsidRPr="001300E3" w:rsidRDefault="00E74ECD" w:rsidP="00E74ECD">
      <w:pPr>
        <w:pStyle w:val="af3"/>
        <w:numPr>
          <w:ilvl w:val="1"/>
          <w:numId w:val="40"/>
        </w:numPr>
        <w:jc w:val="both"/>
      </w:pPr>
      <w:r>
        <w:t xml:space="preserve">OoC UE </w:t>
      </w:r>
      <w:r w:rsidRPr="001300E3">
        <w:t>directly sync. with</w:t>
      </w:r>
      <w:r>
        <w:t xml:space="preserve"> SyncRef UE</w:t>
      </w:r>
    </w:p>
    <w:p w14:paraId="7AD5004D" w14:textId="1CFDF511" w:rsidR="001300E3" w:rsidRPr="003A1A6D" w:rsidRDefault="00E74ECD" w:rsidP="00947418">
      <w:pPr>
        <w:pStyle w:val="af3"/>
        <w:numPr>
          <w:ilvl w:val="0"/>
          <w:numId w:val="40"/>
        </w:numPr>
        <w:jc w:val="both"/>
      </w:pPr>
      <w:r>
        <w:t>V2X UE sidelink working on shared carrier</w:t>
      </w:r>
    </w:p>
    <w:p w14:paraId="5111D54D" w14:textId="77777777" w:rsidR="00E74ECD" w:rsidRPr="001300E3" w:rsidRDefault="00E74ECD" w:rsidP="00E74ECD">
      <w:pPr>
        <w:pStyle w:val="af3"/>
        <w:numPr>
          <w:ilvl w:val="1"/>
          <w:numId w:val="40"/>
        </w:numPr>
        <w:jc w:val="both"/>
      </w:pPr>
      <w:r w:rsidRPr="001300E3">
        <w:lastRenderedPageBreak/>
        <w:t>InC UE directly sync. with gNB</w:t>
      </w:r>
    </w:p>
    <w:p w14:paraId="3430C125" w14:textId="77777777" w:rsidR="00E74ECD" w:rsidRDefault="00E74ECD" w:rsidP="00E74ECD">
      <w:pPr>
        <w:pStyle w:val="af3"/>
        <w:numPr>
          <w:ilvl w:val="1"/>
          <w:numId w:val="40"/>
        </w:numPr>
        <w:jc w:val="both"/>
      </w:pPr>
      <w:r w:rsidRPr="001300E3">
        <w:t>InC UE directly sync. with</w:t>
      </w:r>
      <w:r>
        <w:t xml:space="preserve"> eNB</w:t>
      </w:r>
    </w:p>
    <w:p w14:paraId="4D6E6E93" w14:textId="77777777" w:rsidR="00E74ECD" w:rsidRDefault="00E74ECD" w:rsidP="00E74ECD">
      <w:pPr>
        <w:pStyle w:val="af3"/>
        <w:numPr>
          <w:ilvl w:val="1"/>
          <w:numId w:val="40"/>
        </w:numPr>
        <w:jc w:val="both"/>
      </w:pPr>
      <w:r>
        <w:t xml:space="preserve">InC UE </w:t>
      </w:r>
      <w:r w:rsidRPr="001300E3">
        <w:t>directly sync. with</w:t>
      </w:r>
      <w:r>
        <w:t xml:space="preserve"> GNSS</w:t>
      </w:r>
    </w:p>
    <w:p w14:paraId="7AC66E1B" w14:textId="1E2515CD" w:rsidR="00E74ECD" w:rsidRPr="001300E3" w:rsidRDefault="00E74ECD" w:rsidP="00E74ECD">
      <w:pPr>
        <w:pStyle w:val="af3"/>
        <w:ind w:left="0"/>
        <w:jc w:val="both"/>
      </w:pPr>
      <w:bookmarkStart w:id="1" w:name="_Ref16263829"/>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1</w:t>
      </w:r>
      <w:r w:rsidRPr="00226EF3">
        <w:rPr>
          <w:b/>
          <w:i/>
        </w:rPr>
        <w:fldChar w:fldCharType="end"/>
      </w:r>
      <w:r w:rsidRPr="00226EF3">
        <w:rPr>
          <w:b/>
          <w:i/>
        </w:rPr>
        <w:t>:</w:t>
      </w:r>
      <w:r>
        <w:rPr>
          <w:b/>
          <w:i/>
        </w:rPr>
        <w:t xml:space="preserve"> RAN4 should wait </w:t>
      </w:r>
      <w:r w:rsidRPr="00E74ECD">
        <w:rPr>
          <w:b/>
          <w:i/>
        </w:rPr>
        <w:t>RAN4 RF session and RAN1 to identify which scenarios should be discussed in RRM requirement.</w:t>
      </w:r>
      <w:bookmarkEnd w:id="1"/>
    </w:p>
    <w:p w14:paraId="501F3B3C" w14:textId="77777777" w:rsidR="0041654A" w:rsidRPr="0041654A" w:rsidRDefault="0041654A" w:rsidP="0041654A">
      <w:pPr>
        <w:jc w:val="both"/>
        <w:rPr>
          <w:rFonts w:ascii="Calibri" w:eastAsia="宋体" w:hAnsi="Calibri" w:cs="Times New Roman"/>
          <w:b/>
          <w:sz w:val="28"/>
          <w:szCs w:val="20"/>
          <w:u w:val="single"/>
          <w:lang w:val="en-GB" w:eastAsia="en-US"/>
        </w:rPr>
      </w:pPr>
      <w:r w:rsidRPr="0041654A">
        <w:rPr>
          <w:rFonts w:ascii="Calibri" w:eastAsia="宋体" w:hAnsi="Calibri" w:cs="Times New Roman"/>
          <w:b/>
          <w:sz w:val="28"/>
          <w:szCs w:val="20"/>
          <w:u w:val="single"/>
          <w:lang w:val="en-GB" w:eastAsia="en-US"/>
        </w:rPr>
        <w:t>SLSS Transmission in EN-DC/NE-DC network</w:t>
      </w:r>
    </w:p>
    <w:p w14:paraId="2AE75CB1" w14:textId="77777777" w:rsidR="0004351A" w:rsidRDefault="0041654A" w:rsidP="0041654A">
      <w:pPr>
        <w:jc w:val="both"/>
        <w:rPr>
          <w:lang w:eastAsia="en-US"/>
        </w:rPr>
      </w:pPr>
      <w:r>
        <w:rPr>
          <w:lang w:val="en-GB" w:eastAsia="en-US"/>
        </w:rPr>
        <w:t>From RAN1’s agreement, both eNB and gNB can be the synchronization source</w:t>
      </w:r>
      <w:r>
        <w:rPr>
          <w:lang w:eastAsia="en-US"/>
        </w:rPr>
        <w:t xml:space="preserve">. In EN-DC/NE-DC network, it’s not reasonable to re-use the criteria </w:t>
      </w:r>
      <w:r w:rsidR="001D449B">
        <w:rPr>
          <w:lang w:eastAsia="en-US"/>
        </w:rPr>
        <w:t xml:space="preserve">to always use the PCell as the </w:t>
      </w:r>
      <w:r w:rsidR="001D449B">
        <w:rPr>
          <w:lang w:val="en-GB" w:eastAsia="en-US"/>
        </w:rPr>
        <w:t>synchronization source</w:t>
      </w:r>
      <w:r w:rsidR="001D449B">
        <w:rPr>
          <w:lang w:eastAsia="en-US"/>
        </w:rPr>
        <w:t xml:space="preserve"> </w:t>
      </w:r>
      <w:r>
        <w:rPr>
          <w:lang w:eastAsia="en-US"/>
        </w:rPr>
        <w:t xml:space="preserve">in LTE V2X. For example, there is an EN-DC network in the </w:t>
      </w:r>
      <w:r>
        <w:rPr>
          <w:lang w:eastAsia="en-US"/>
        </w:rPr>
        <w:fldChar w:fldCharType="begin"/>
      </w:r>
      <w:r>
        <w:rPr>
          <w:lang w:eastAsia="en-US"/>
        </w:rPr>
        <w:instrText xml:space="preserve"> REF _Ref16187541 \h  \* MERGEFORMAT </w:instrText>
      </w:r>
      <w:r>
        <w:rPr>
          <w:lang w:eastAsia="en-US"/>
        </w:rPr>
      </w:r>
      <w:r>
        <w:rPr>
          <w:lang w:eastAsia="en-US"/>
        </w:rPr>
        <w:fldChar w:fldCharType="separate"/>
      </w:r>
      <w:r w:rsidR="001C3D89" w:rsidRPr="001C3D89">
        <w:rPr>
          <w:lang w:eastAsia="en-US"/>
        </w:rPr>
        <w:t>Figure 1</w:t>
      </w:r>
      <w:r>
        <w:rPr>
          <w:lang w:eastAsia="en-US"/>
        </w:rPr>
        <w:fldChar w:fldCharType="end"/>
      </w:r>
      <w:r>
        <w:rPr>
          <w:lang w:eastAsia="en-US"/>
        </w:rPr>
        <w:t>. RSRP of gNB</w:t>
      </w:r>
      <w:r w:rsidR="001D449B">
        <w:rPr>
          <w:lang w:eastAsia="en-US"/>
        </w:rPr>
        <w:t>(PSCell)</w:t>
      </w:r>
      <w:r>
        <w:rPr>
          <w:lang w:eastAsia="en-US"/>
        </w:rPr>
        <w:t xml:space="preserve"> is obviously better than the RSRP of eNB</w:t>
      </w:r>
      <w:r w:rsidR="001D449B">
        <w:rPr>
          <w:lang w:eastAsia="en-US"/>
        </w:rPr>
        <w:t>(PCell)</w:t>
      </w:r>
      <w:r>
        <w:rPr>
          <w:lang w:eastAsia="en-US"/>
        </w:rPr>
        <w:t xml:space="preserve"> for UE-2. </w:t>
      </w:r>
      <w:r w:rsidR="001D449B">
        <w:rPr>
          <w:lang w:eastAsia="en-US"/>
        </w:rPr>
        <w:t>If SLSS transmission is based on PCell’s RSRP, UE-2 will transmit the SLSS. However, UE-2 is very close to gNB and do</w:t>
      </w:r>
      <w:r w:rsidR="00927B47">
        <w:rPr>
          <w:lang w:eastAsia="en-US"/>
        </w:rPr>
        <w:t>se</w:t>
      </w:r>
      <w:r w:rsidR="001D449B">
        <w:rPr>
          <w:lang w:eastAsia="en-US"/>
        </w:rPr>
        <w:t xml:space="preserve">n’t need to transmit the SLSS based on PSCell’s RSRP. SyncRef UE as sync source </w:t>
      </w:r>
      <w:r w:rsidR="006F581E">
        <w:rPr>
          <w:lang w:eastAsia="en-US"/>
        </w:rPr>
        <w:t xml:space="preserve">to transmit SLSS </w:t>
      </w:r>
      <w:r w:rsidR="001D449B">
        <w:rPr>
          <w:lang w:eastAsia="en-US"/>
        </w:rPr>
        <w:t xml:space="preserve">is a supplement </w:t>
      </w:r>
      <w:r w:rsidR="006F581E">
        <w:rPr>
          <w:lang w:eastAsia="en-US"/>
        </w:rPr>
        <w:t>mechanism of gNB/e</w:t>
      </w:r>
      <w:r w:rsidR="001D449B">
        <w:rPr>
          <w:lang w:eastAsia="en-US"/>
        </w:rPr>
        <w:t>NB as sync source</w:t>
      </w:r>
      <w:r w:rsidR="006F581E">
        <w:rPr>
          <w:lang w:eastAsia="en-US"/>
        </w:rPr>
        <w:t xml:space="preserve"> and </w:t>
      </w:r>
      <w:r w:rsidR="00B7468F">
        <w:rPr>
          <w:lang w:eastAsia="en-US"/>
        </w:rPr>
        <w:t xml:space="preserve">has </w:t>
      </w:r>
      <w:r w:rsidR="006F581E">
        <w:rPr>
          <w:lang w:eastAsia="en-US"/>
        </w:rPr>
        <w:t xml:space="preserve">lower synchronization priority. Thus, it’s not reasonable to ask UE-2 to transmit the SLSS. </w:t>
      </w:r>
      <w:r w:rsidRPr="006F581E">
        <w:rPr>
          <w:lang w:eastAsia="en-US"/>
        </w:rPr>
        <w:t xml:space="preserve">UE </w:t>
      </w:r>
      <w:r w:rsidR="006F581E" w:rsidRPr="006F581E">
        <w:rPr>
          <w:lang w:eastAsia="en-US"/>
        </w:rPr>
        <w:t xml:space="preserve">is better </w:t>
      </w:r>
      <w:r w:rsidRPr="006F581E">
        <w:rPr>
          <w:lang w:eastAsia="en-US"/>
        </w:rPr>
        <w:t>to select eNB(PCell) or gNB(PSCell) as synchronization reference source based on their RSRP result</w:t>
      </w:r>
      <w:r w:rsidR="00663541">
        <w:rPr>
          <w:lang w:eastAsia="en-US"/>
        </w:rPr>
        <w:t>s</w:t>
      </w:r>
      <w:r w:rsidRPr="006F581E">
        <w:rPr>
          <w:lang w:eastAsia="en-US"/>
        </w:rPr>
        <w:t>.</w:t>
      </w:r>
    </w:p>
    <w:p w14:paraId="59305133" w14:textId="1CC54B7D" w:rsidR="0041654A" w:rsidRDefault="0004351A" w:rsidP="0004351A">
      <w:pPr>
        <w:jc w:val="center"/>
        <w:rPr>
          <w:lang w:eastAsia="en-US"/>
        </w:rPr>
      </w:pPr>
      <w:r>
        <w:rPr>
          <w:noProof/>
        </w:rPr>
        <w:drawing>
          <wp:inline distT="0" distB="0" distL="0" distR="0" wp14:anchorId="4440FB9E" wp14:editId="4FE63868">
            <wp:extent cx="3252158" cy="1686066"/>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90992" cy="1706199"/>
                    </a:xfrm>
                    <a:prstGeom prst="rect">
                      <a:avLst/>
                    </a:prstGeom>
                    <a:noFill/>
                  </pic:spPr>
                </pic:pic>
              </a:graphicData>
            </a:graphic>
          </wp:inline>
        </w:drawing>
      </w:r>
    </w:p>
    <w:p w14:paraId="2047AC71" w14:textId="77777777" w:rsidR="0041654A" w:rsidRPr="00AD1682" w:rsidRDefault="0041654A" w:rsidP="0041654A">
      <w:pPr>
        <w:jc w:val="center"/>
        <w:rPr>
          <w:b/>
          <w:i/>
        </w:rPr>
      </w:pPr>
      <w:bookmarkStart w:id="2" w:name="_Ref16187541"/>
      <w:r w:rsidRPr="00AD1682">
        <w:rPr>
          <w:b/>
          <w:i/>
        </w:rPr>
        <w:t xml:space="preserve">Figure </w:t>
      </w:r>
      <w:r w:rsidRPr="00AD1682">
        <w:rPr>
          <w:b/>
          <w:i/>
        </w:rPr>
        <w:fldChar w:fldCharType="begin"/>
      </w:r>
      <w:r w:rsidRPr="00AD1682">
        <w:rPr>
          <w:b/>
          <w:i/>
        </w:rPr>
        <w:instrText xml:space="preserve"> SEQ Figure \* ARABIC </w:instrText>
      </w:r>
      <w:r w:rsidRPr="00AD1682">
        <w:rPr>
          <w:b/>
          <w:i/>
        </w:rPr>
        <w:fldChar w:fldCharType="separate"/>
      </w:r>
      <w:r w:rsidR="001C3D89">
        <w:rPr>
          <w:b/>
          <w:i/>
          <w:noProof/>
        </w:rPr>
        <w:t>1</w:t>
      </w:r>
      <w:r w:rsidRPr="00AD1682">
        <w:rPr>
          <w:b/>
          <w:i/>
        </w:rPr>
        <w:fldChar w:fldCharType="end"/>
      </w:r>
      <w:bookmarkEnd w:id="2"/>
      <w:r w:rsidRPr="00AD1682">
        <w:rPr>
          <w:b/>
          <w:i/>
        </w:rPr>
        <w:t xml:space="preserve">. </w:t>
      </w:r>
      <w:r w:rsidRPr="00AD1682">
        <w:rPr>
          <w:rFonts w:hint="eastAsia"/>
          <w:b/>
          <w:i/>
        </w:rPr>
        <w:t>An example of S-SSB transmission in an EN-DC scenario</w:t>
      </w:r>
    </w:p>
    <w:p w14:paraId="78AF215F" w14:textId="3E26A391" w:rsidR="0041654A" w:rsidRPr="00D33DDB" w:rsidRDefault="0041654A" w:rsidP="0041654A">
      <w:pPr>
        <w:rPr>
          <w:b/>
          <w:i/>
          <w:szCs w:val="20"/>
          <w:lang w:eastAsia="x-none"/>
        </w:rPr>
      </w:pPr>
      <w:bookmarkStart w:id="3" w:name="_Ref16253965"/>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2</w:t>
      </w:r>
      <w:r w:rsidRPr="00226EF3">
        <w:rPr>
          <w:b/>
          <w:i/>
        </w:rPr>
        <w:fldChar w:fldCharType="end"/>
      </w:r>
      <w:r w:rsidRPr="00226EF3">
        <w:rPr>
          <w:b/>
          <w:i/>
        </w:rPr>
        <w:t>:</w:t>
      </w:r>
      <w:r w:rsidRPr="00AD1682">
        <w:rPr>
          <w:b/>
          <w:i/>
        </w:rPr>
        <w:t xml:space="preserve"> UE </w:t>
      </w:r>
      <w:r w:rsidR="006F581E">
        <w:rPr>
          <w:b/>
          <w:i/>
        </w:rPr>
        <w:t>is better to</w:t>
      </w:r>
      <w:r w:rsidRPr="00AD1682">
        <w:rPr>
          <w:b/>
          <w:i/>
        </w:rPr>
        <w:t xml:space="preserve"> choose P</w:t>
      </w:r>
      <w:r>
        <w:rPr>
          <w:b/>
          <w:i/>
        </w:rPr>
        <w:t>C</w:t>
      </w:r>
      <w:r w:rsidRPr="00AD1682">
        <w:rPr>
          <w:b/>
          <w:i/>
        </w:rPr>
        <w:t>ell or P</w:t>
      </w:r>
      <w:r>
        <w:rPr>
          <w:b/>
          <w:i/>
        </w:rPr>
        <w:t>S</w:t>
      </w:r>
      <w:r w:rsidRPr="00AD1682">
        <w:rPr>
          <w:b/>
          <w:i/>
        </w:rPr>
        <w:t>cell as synchronization reference source based on their RSRP result</w:t>
      </w:r>
      <w:r w:rsidR="006A04C2">
        <w:rPr>
          <w:b/>
          <w:i/>
        </w:rPr>
        <w:t>s</w:t>
      </w:r>
      <w:r w:rsidRPr="00AD1682">
        <w:rPr>
          <w:b/>
          <w:i/>
        </w:rPr>
        <w:t>.</w:t>
      </w:r>
      <w:bookmarkEnd w:id="3"/>
    </w:p>
    <w:p w14:paraId="3DCA34A1" w14:textId="6A8D0C0B" w:rsidR="001300E3" w:rsidRPr="001300E3" w:rsidRDefault="00E74ECD" w:rsidP="00CC198B">
      <w:pPr>
        <w:jc w:val="both"/>
        <w:rPr>
          <w:rFonts w:ascii="Calibri" w:eastAsia="宋体" w:hAnsi="Calibri" w:cs="Times New Roman"/>
          <w:b/>
          <w:sz w:val="28"/>
          <w:szCs w:val="20"/>
          <w:u w:val="single"/>
          <w:lang w:val="en-GB" w:eastAsia="en-US"/>
        </w:rPr>
      </w:pPr>
      <w:r>
        <w:rPr>
          <w:rFonts w:ascii="Calibri" w:eastAsia="宋体" w:hAnsi="Calibri" w:cs="Times New Roman"/>
          <w:b/>
          <w:sz w:val="28"/>
          <w:szCs w:val="20"/>
          <w:u w:val="single"/>
          <w:lang w:val="en-GB" w:eastAsia="en-US"/>
        </w:rPr>
        <w:t>Serving</w:t>
      </w:r>
      <w:r w:rsidR="001300E3" w:rsidRPr="001300E3">
        <w:rPr>
          <w:rFonts w:ascii="Calibri" w:eastAsia="宋体" w:hAnsi="Calibri" w:cs="Times New Roman"/>
          <w:b/>
          <w:sz w:val="28"/>
          <w:szCs w:val="20"/>
          <w:u w:val="single"/>
          <w:lang w:val="en-GB" w:eastAsia="en-US"/>
        </w:rPr>
        <w:t xml:space="preserve"> Cell</w:t>
      </w:r>
      <w:r>
        <w:rPr>
          <w:rFonts w:ascii="Calibri" w:eastAsia="宋体" w:hAnsi="Calibri" w:cs="Times New Roman"/>
          <w:b/>
          <w:sz w:val="28"/>
          <w:szCs w:val="20"/>
          <w:u w:val="single"/>
          <w:lang w:val="en-GB" w:eastAsia="en-US"/>
        </w:rPr>
        <w:t>/PCell</w:t>
      </w:r>
      <w:r w:rsidR="0041654A">
        <w:rPr>
          <w:rFonts w:ascii="Calibri" w:eastAsia="宋体" w:hAnsi="Calibri" w:cs="Times New Roman"/>
          <w:b/>
          <w:sz w:val="28"/>
          <w:szCs w:val="20"/>
          <w:u w:val="single"/>
          <w:lang w:val="en-GB" w:eastAsia="en-US"/>
        </w:rPr>
        <w:t>/PSCell</w:t>
      </w:r>
      <w:r w:rsidR="001300E3" w:rsidRPr="001300E3">
        <w:rPr>
          <w:rFonts w:ascii="Calibri" w:eastAsia="宋体" w:hAnsi="Calibri" w:cs="Times New Roman"/>
          <w:b/>
          <w:sz w:val="28"/>
          <w:szCs w:val="20"/>
          <w:u w:val="single"/>
          <w:lang w:val="en-GB" w:eastAsia="en-US"/>
        </w:rPr>
        <w:t xml:space="preserve"> as synchronization reference source</w:t>
      </w:r>
    </w:p>
    <w:p w14:paraId="70A09992" w14:textId="18F9B393" w:rsidR="00CF0A25" w:rsidRDefault="00E74ECD" w:rsidP="00AD1682">
      <w:pPr>
        <w:jc w:val="both"/>
      </w:pPr>
      <w:r w:rsidRPr="0041654A">
        <w:t xml:space="preserve">RAN4 RRM could </w:t>
      </w:r>
      <w:r w:rsidR="0041654A">
        <w:t>start to discuss th</w:t>
      </w:r>
      <w:r w:rsidR="00A94D20">
        <w:t>is</w:t>
      </w:r>
      <w:r w:rsidR="0041654A">
        <w:t xml:space="preserve"> requirement for serving cell/PCell as synchronization reference source</w:t>
      </w:r>
      <w:r w:rsidRPr="0041654A">
        <w:t>.</w:t>
      </w:r>
      <w:r w:rsidR="0041654A">
        <w:t xml:space="preserve"> </w:t>
      </w:r>
      <w:r w:rsidR="00A94D20">
        <w:t xml:space="preserve">This requirement could directly re-use NR intra-frequency measurement </w:t>
      </w:r>
      <w:r w:rsidR="00A94D20" w:rsidRPr="0041654A">
        <w:t>with/without gaps</w:t>
      </w:r>
      <w:r w:rsidR="00A94D20">
        <w:t xml:space="preserve"> requirement when NR cell is the </w:t>
      </w:r>
      <w:r w:rsidR="00A94D20" w:rsidRPr="0041654A">
        <w:t>synchronization reference source</w:t>
      </w:r>
      <w:r w:rsidR="00A94D20">
        <w:t>. It</w:t>
      </w:r>
      <w:r w:rsidR="0041654A">
        <w:t xml:space="preserve"> could </w:t>
      </w:r>
      <w:r w:rsidR="00A94D20">
        <w:t xml:space="preserve">also </w:t>
      </w:r>
      <w:r w:rsidR="0041654A">
        <w:t>directly refer on LTE intra-frequency measurement requirement as legacy LTE</w:t>
      </w:r>
      <w:r w:rsidR="00914F81">
        <w:t xml:space="preserve"> V2X</w:t>
      </w:r>
      <w:r w:rsidR="00A94D20">
        <w:t xml:space="preserve"> when LTE cell is the </w:t>
      </w:r>
      <w:r w:rsidR="00A94D20" w:rsidRPr="0041654A">
        <w:t>synchronization reference source</w:t>
      </w:r>
      <w:r w:rsidR="0041654A">
        <w:t>.</w:t>
      </w:r>
    </w:p>
    <w:p w14:paraId="583E655C" w14:textId="4D3E3B6D" w:rsidR="0041654A" w:rsidRDefault="0041654A" w:rsidP="00AD1682">
      <w:pPr>
        <w:jc w:val="both"/>
      </w:pPr>
      <w:bookmarkStart w:id="4" w:name="_Ref16263834"/>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3</w:t>
      </w:r>
      <w:r w:rsidRPr="00226EF3">
        <w:rPr>
          <w:b/>
          <w:i/>
        </w:rPr>
        <w:fldChar w:fldCharType="end"/>
      </w:r>
      <w:r w:rsidRPr="00226EF3">
        <w:rPr>
          <w:b/>
          <w:i/>
        </w:rPr>
        <w:t>:</w:t>
      </w:r>
      <w:r>
        <w:rPr>
          <w:b/>
          <w:i/>
        </w:rPr>
        <w:t xml:space="preserve"> The measurement time could re-use NR intra-frequency measurement with/without gaps time</w:t>
      </w:r>
      <w:r w:rsidR="008215C8">
        <w:rPr>
          <w:b/>
          <w:i/>
        </w:rPr>
        <w:t xml:space="preserve"> when NR serving cell is used as </w:t>
      </w:r>
      <w:r w:rsidR="008215C8" w:rsidRPr="008215C8">
        <w:rPr>
          <w:b/>
          <w:i/>
        </w:rPr>
        <w:t>synchronization reference source</w:t>
      </w:r>
      <w:r>
        <w:rPr>
          <w:b/>
          <w:i/>
        </w:rPr>
        <w:t>.</w:t>
      </w:r>
      <w:bookmarkEnd w:id="4"/>
    </w:p>
    <w:p w14:paraId="70B57F03" w14:textId="7DD68282" w:rsidR="00CF0A25" w:rsidRDefault="00CF0A25" w:rsidP="00AD1682">
      <w:pPr>
        <w:jc w:val="both"/>
        <w:rPr>
          <w:rFonts w:ascii="Calibri" w:eastAsia="宋体" w:hAnsi="Calibri" w:cs="Times New Roman"/>
          <w:b/>
          <w:sz w:val="28"/>
          <w:szCs w:val="20"/>
          <w:u w:val="single"/>
          <w:lang w:val="en-GB" w:eastAsia="en-US"/>
        </w:rPr>
      </w:pPr>
      <w:r w:rsidRPr="00CF0A25">
        <w:rPr>
          <w:rFonts w:ascii="Calibri" w:eastAsia="宋体" w:hAnsi="Calibri" w:cs="Times New Roman"/>
          <w:b/>
          <w:sz w:val="28"/>
          <w:szCs w:val="20"/>
          <w:u w:val="single"/>
          <w:lang w:val="en-GB" w:eastAsia="en-US"/>
        </w:rPr>
        <w:t>Evaluation time</w:t>
      </w:r>
    </w:p>
    <w:p w14:paraId="0A6A61FE" w14:textId="7F94170F" w:rsidR="00E4471C" w:rsidRDefault="00E4471C" w:rsidP="00AD1682">
      <w:pPr>
        <w:jc w:val="both"/>
      </w:pPr>
      <w:r>
        <w:t xml:space="preserve">Generally, the evaluation time </w:t>
      </w:r>
      <w:r w:rsidR="00DA10A2">
        <w:t xml:space="preserve">for UE </w:t>
      </w:r>
      <w:r w:rsidR="00010E6C">
        <w:t xml:space="preserve">to check </w:t>
      </w:r>
      <w:r w:rsidR="00DA10A2">
        <w:t xml:space="preserve">whether </w:t>
      </w:r>
      <w:r w:rsidR="00010E6C">
        <w:t xml:space="preserve">the channel condition </w:t>
      </w:r>
      <w:r w:rsidR="00DA10A2">
        <w:t>fulfill</w:t>
      </w:r>
      <w:r w:rsidR="00010E6C">
        <w:t>s</w:t>
      </w:r>
      <w:r w:rsidR="00DA10A2">
        <w:t xml:space="preserve"> one criteria </w:t>
      </w:r>
      <w:r w:rsidR="00914BE0">
        <w:t xml:space="preserve">should </w:t>
      </w:r>
      <w:r w:rsidR="00DA10A2">
        <w:t>be</w:t>
      </w:r>
      <w:r>
        <w:t xml:space="preserve"> </w:t>
      </w:r>
      <w:r w:rsidR="005A02D4">
        <w:t xml:space="preserve">a </w:t>
      </w:r>
      <w:r>
        <w:t xml:space="preserve">multiple of the L1 measurement periods for RSRP/S-RSRP because the </w:t>
      </w:r>
      <w:r w:rsidR="009C3233">
        <w:t>small scale fading</w:t>
      </w:r>
      <w:r w:rsidR="00DA10A2">
        <w:t xml:space="preserve"> impact </w:t>
      </w:r>
      <w:r w:rsidR="001300E3">
        <w:t xml:space="preserve">should be </w:t>
      </w:r>
      <w:r w:rsidR="001300E3" w:rsidRPr="001300E3">
        <w:t>alleviate</w:t>
      </w:r>
      <w:r w:rsidR="00DA10A2">
        <w:t>d</w:t>
      </w:r>
      <w:r w:rsidR="001300E3">
        <w:t xml:space="preserve"> in the evaluation time</w:t>
      </w:r>
      <w:r>
        <w:t xml:space="preserve">. </w:t>
      </w:r>
      <w:r w:rsidR="00DA10A2">
        <w:t>For example, i</w:t>
      </w:r>
      <w:r>
        <w:t>n NR idle mode, the relation between evaluation time and the measurement time for cell re-selection is shown as follow.</w:t>
      </w:r>
      <w:r w:rsidR="001300E3">
        <w:t xml:space="preserve"> Evaluation time can</w:t>
      </w:r>
      <w:r>
        <w:t xml:space="preserve"> be 3-4 times of measurement time. </w:t>
      </w:r>
      <w:r w:rsidR="001300E3">
        <w:t>In legacy LTE, the S-RSRP evaluation time is 2 times of measurement time.</w:t>
      </w:r>
      <w:r w:rsidR="00DA10A2">
        <w:t xml:space="preserve"> In NR V2X, it’s proposed also to use 2 times of measurement time for initiation/cease of SLSS transmission evaluation time.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E4471C" w:rsidRPr="000752DD" w14:paraId="31322DDE" w14:textId="77777777" w:rsidTr="001300E3">
        <w:trPr>
          <w:cantSplit/>
          <w:trHeight w:val="308"/>
          <w:jc w:val="center"/>
        </w:trPr>
        <w:tc>
          <w:tcPr>
            <w:tcW w:w="2500" w:type="pct"/>
            <w:vMerge w:val="restart"/>
            <w:tcBorders>
              <w:top w:val="single" w:sz="4" w:space="0" w:color="auto"/>
              <w:left w:val="single" w:sz="4" w:space="0" w:color="auto"/>
              <w:right w:val="single" w:sz="4" w:space="0" w:color="auto"/>
            </w:tcBorders>
            <w:hideMark/>
          </w:tcPr>
          <w:p w14:paraId="263FB6F8" w14:textId="77777777" w:rsidR="00E4471C" w:rsidRPr="000752DD" w:rsidRDefault="00E4471C" w:rsidP="007F5E27">
            <w:pPr>
              <w:keepNext/>
              <w:keepLines/>
              <w:spacing w:after="0"/>
              <w:jc w:val="center"/>
            </w:pPr>
            <w:r w:rsidRPr="000752DD">
              <w:rPr>
                <w:rFonts w:ascii="Arial" w:hAnsi="Arial"/>
                <w:b/>
                <w:sz w:val="18"/>
              </w:rPr>
              <w:lastRenderedPageBreak/>
              <w:t>T</w:t>
            </w:r>
            <w:r w:rsidRPr="000752DD">
              <w:rPr>
                <w:rFonts w:ascii="Arial" w:hAnsi="Arial"/>
                <w:b/>
                <w:sz w:val="18"/>
                <w:vertAlign w:val="subscript"/>
              </w:rPr>
              <w:t>measure,NR_Intra</w:t>
            </w:r>
            <w:r w:rsidRPr="000752DD">
              <w:rPr>
                <w:rFonts w:ascii="Arial" w:hAnsi="Arial"/>
                <w:b/>
                <w:sz w:val="18"/>
              </w:rPr>
              <w:t xml:space="preserve"> [s] (number of DRX cycles)</w:t>
            </w:r>
          </w:p>
        </w:tc>
        <w:tc>
          <w:tcPr>
            <w:tcW w:w="2500" w:type="pct"/>
            <w:vMerge w:val="restart"/>
            <w:tcBorders>
              <w:top w:val="single" w:sz="4" w:space="0" w:color="auto"/>
              <w:left w:val="single" w:sz="4" w:space="0" w:color="auto"/>
              <w:right w:val="single" w:sz="4" w:space="0" w:color="auto"/>
            </w:tcBorders>
            <w:hideMark/>
          </w:tcPr>
          <w:p w14:paraId="755B18CA" w14:textId="77777777" w:rsidR="00E4471C" w:rsidRPr="000752DD" w:rsidRDefault="00E4471C" w:rsidP="007F5E27">
            <w:pPr>
              <w:keepNext/>
              <w:keepLines/>
              <w:spacing w:after="0"/>
              <w:jc w:val="center"/>
              <w:rPr>
                <w:vertAlign w:val="subscript"/>
              </w:rPr>
            </w:pPr>
            <w:r w:rsidRPr="000752DD">
              <w:rPr>
                <w:rFonts w:ascii="Arial" w:hAnsi="Arial"/>
                <w:b/>
                <w:sz w:val="18"/>
              </w:rPr>
              <w:t>T</w:t>
            </w:r>
            <w:r w:rsidRPr="000752DD">
              <w:rPr>
                <w:rFonts w:ascii="Arial" w:hAnsi="Arial"/>
                <w:b/>
                <w:sz w:val="18"/>
                <w:vertAlign w:val="subscript"/>
              </w:rPr>
              <w:t>evaluate,NR_</w:t>
            </w:r>
            <w:r w:rsidRPr="000752DD">
              <w:rPr>
                <w:rFonts w:ascii="Arial" w:hAnsi="Arial" w:cs="v4.2.0"/>
                <w:b/>
                <w:sz w:val="18"/>
                <w:vertAlign w:val="subscript"/>
              </w:rPr>
              <w:t>Intra</w:t>
            </w:r>
          </w:p>
          <w:p w14:paraId="42D2EF46" w14:textId="77777777" w:rsidR="00E4471C" w:rsidRPr="000752DD" w:rsidRDefault="00E4471C" w:rsidP="007F5E27">
            <w:pPr>
              <w:keepNext/>
              <w:keepLines/>
              <w:spacing w:after="0"/>
              <w:jc w:val="center"/>
            </w:pPr>
            <w:r w:rsidRPr="000752DD">
              <w:rPr>
                <w:rFonts w:ascii="Arial" w:hAnsi="Arial"/>
                <w:b/>
                <w:sz w:val="18"/>
              </w:rPr>
              <w:t>[s] (number of DRX cycles)</w:t>
            </w:r>
          </w:p>
        </w:tc>
      </w:tr>
      <w:tr w:rsidR="00E4471C" w:rsidRPr="000752DD" w14:paraId="2E5C00C2" w14:textId="77777777" w:rsidTr="001300E3">
        <w:trPr>
          <w:cantSplit/>
          <w:trHeight w:val="308"/>
          <w:jc w:val="center"/>
        </w:trPr>
        <w:tc>
          <w:tcPr>
            <w:tcW w:w="2500" w:type="pct"/>
            <w:vMerge/>
            <w:tcBorders>
              <w:left w:val="single" w:sz="4" w:space="0" w:color="auto"/>
              <w:bottom w:val="single" w:sz="4" w:space="0" w:color="auto"/>
              <w:right w:val="single" w:sz="4" w:space="0" w:color="auto"/>
            </w:tcBorders>
          </w:tcPr>
          <w:p w14:paraId="6D166487" w14:textId="77777777" w:rsidR="00E4471C" w:rsidRPr="000752DD" w:rsidRDefault="00E4471C" w:rsidP="007F5E27">
            <w:pPr>
              <w:keepNext/>
              <w:keepLines/>
              <w:spacing w:after="0"/>
              <w:jc w:val="center"/>
              <w:rPr>
                <w:rFonts w:ascii="Arial" w:hAnsi="Arial"/>
                <w:sz w:val="18"/>
              </w:rPr>
            </w:pPr>
          </w:p>
        </w:tc>
        <w:tc>
          <w:tcPr>
            <w:tcW w:w="2500" w:type="pct"/>
            <w:vMerge/>
            <w:tcBorders>
              <w:left w:val="single" w:sz="4" w:space="0" w:color="auto"/>
              <w:bottom w:val="single" w:sz="4" w:space="0" w:color="auto"/>
              <w:right w:val="single" w:sz="4" w:space="0" w:color="auto"/>
            </w:tcBorders>
          </w:tcPr>
          <w:p w14:paraId="0F1B88CE" w14:textId="77777777" w:rsidR="00E4471C" w:rsidRPr="000752DD" w:rsidRDefault="00E4471C" w:rsidP="007F5E27">
            <w:pPr>
              <w:keepNext/>
              <w:keepLines/>
              <w:spacing w:after="0"/>
              <w:jc w:val="center"/>
              <w:rPr>
                <w:rFonts w:ascii="Arial" w:hAnsi="Arial"/>
                <w:sz w:val="18"/>
              </w:rPr>
            </w:pPr>
          </w:p>
        </w:tc>
      </w:tr>
      <w:tr w:rsidR="00E4471C" w:rsidRPr="000752DD" w14:paraId="451A909A" w14:textId="77777777" w:rsidTr="001300E3">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1A95D59D" w14:textId="77777777" w:rsidR="00E4471C" w:rsidRPr="000752DD" w:rsidRDefault="00E4471C" w:rsidP="007F5E27">
            <w:pPr>
              <w:keepNext/>
              <w:keepLines/>
              <w:spacing w:after="0"/>
              <w:jc w:val="center"/>
            </w:pPr>
            <w:r w:rsidRPr="000752DD">
              <w:rPr>
                <w:rFonts w:ascii="Arial" w:hAnsi="Arial"/>
                <w:sz w:val="18"/>
              </w:rPr>
              <w:t xml:space="preserve">1.28 x N1 </w:t>
            </w:r>
            <w:r w:rsidRPr="000752DD">
              <w:rPr>
                <w:rFonts w:ascii="Arial" w:hAnsi="Arial" w:cs="Arial"/>
                <w:sz w:val="18"/>
              </w:rPr>
              <w:t>x M2</w:t>
            </w:r>
            <w:r w:rsidRPr="000752DD">
              <w:rPr>
                <w:rFonts w:ascii="Arial" w:hAnsi="Arial" w:cs="Arial"/>
                <w:snapToGrid w:val="0"/>
                <w:sz w:val="18"/>
              </w:rPr>
              <w:t xml:space="preserve"> </w:t>
            </w:r>
            <w:r w:rsidRPr="000752DD">
              <w:rPr>
                <w:rFonts w:ascii="Arial" w:hAnsi="Arial"/>
                <w:sz w:val="18"/>
              </w:rPr>
              <w:t>(4 x N1</w:t>
            </w:r>
            <w:r w:rsidRPr="000752DD">
              <w:rPr>
                <w:rFonts w:ascii="Arial" w:hAnsi="Arial" w:cs="Arial"/>
                <w:sz w:val="18"/>
              </w:rPr>
              <w:t xml:space="preserve"> x M2</w:t>
            </w:r>
            <w:r w:rsidRPr="000752DD">
              <w:rPr>
                <w:rFonts w:ascii="Arial" w:hAnsi="Arial"/>
                <w:sz w:val="18"/>
              </w:rPr>
              <w:t>)</w:t>
            </w:r>
          </w:p>
        </w:tc>
        <w:tc>
          <w:tcPr>
            <w:tcW w:w="2500" w:type="pct"/>
            <w:tcBorders>
              <w:top w:val="single" w:sz="4" w:space="0" w:color="auto"/>
              <w:left w:val="single" w:sz="4" w:space="0" w:color="auto"/>
              <w:bottom w:val="single" w:sz="4" w:space="0" w:color="auto"/>
              <w:right w:val="single" w:sz="4" w:space="0" w:color="auto"/>
            </w:tcBorders>
            <w:hideMark/>
          </w:tcPr>
          <w:p w14:paraId="0130B84A" w14:textId="77777777" w:rsidR="00E4471C" w:rsidRPr="000752DD" w:rsidRDefault="00E4471C" w:rsidP="007F5E27">
            <w:pPr>
              <w:keepNext/>
              <w:keepLines/>
              <w:spacing w:after="0"/>
              <w:jc w:val="center"/>
            </w:pPr>
            <w:r w:rsidRPr="000752DD">
              <w:rPr>
                <w:rFonts w:ascii="Arial" w:hAnsi="Arial"/>
                <w:sz w:val="18"/>
              </w:rPr>
              <w:t xml:space="preserve">5.12 x N1 </w:t>
            </w:r>
            <w:r w:rsidRPr="000752DD">
              <w:rPr>
                <w:rFonts w:ascii="Arial" w:hAnsi="Arial" w:cs="Arial"/>
                <w:sz w:val="18"/>
              </w:rPr>
              <w:t>x M2</w:t>
            </w:r>
            <w:r w:rsidRPr="000752DD">
              <w:rPr>
                <w:rFonts w:ascii="Arial" w:hAnsi="Arial" w:cs="Arial"/>
                <w:snapToGrid w:val="0"/>
                <w:sz w:val="18"/>
              </w:rPr>
              <w:t xml:space="preserve"> </w:t>
            </w:r>
            <w:r w:rsidRPr="000752DD">
              <w:rPr>
                <w:rFonts w:ascii="Arial" w:hAnsi="Arial"/>
                <w:sz w:val="18"/>
              </w:rPr>
              <w:t>(16 x N1</w:t>
            </w:r>
            <w:r w:rsidRPr="000752DD">
              <w:rPr>
                <w:rFonts w:ascii="Arial" w:hAnsi="Arial" w:cs="Arial"/>
                <w:sz w:val="18"/>
              </w:rPr>
              <w:t xml:space="preserve"> x M2</w:t>
            </w:r>
            <w:r w:rsidRPr="000752DD">
              <w:rPr>
                <w:rFonts w:ascii="Arial" w:hAnsi="Arial"/>
                <w:sz w:val="18"/>
              </w:rPr>
              <w:t>)</w:t>
            </w:r>
          </w:p>
        </w:tc>
      </w:tr>
      <w:tr w:rsidR="00E4471C" w:rsidRPr="000752DD" w14:paraId="146FD38F" w14:textId="77777777" w:rsidTr="001300E3">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272A33BF" w14:textId="77777777" w:rsidR="00E4471C" w:rsidRPr="000752DD" w:rsidRDefault="00E4471C" w:rsidP="007F5E27">
            <w:pPr>
              <w:keepNext/>
              <w:keepLines/>
              <w:spacing w:after="0"/>
              <w:jc w:val="center"/>
            </w:pPr>
            <w:r w:rsidRPr="000752DD">
              <w:rPr>
                <w:rFonts w:ascii="Arial" w:hAnsi="Arial"/>
                <w:sz w:val="18"/>
              </w:rPr>
              <w:t>1.28 x N1 (2 x N1)</w:t>
            </w:r>
          </w:p>
        </w:tc>
        <w:tc>
          <w:tcPr>
            <w:tcW w:w="2500" w:type="pct"/>
            <w:tcBorders>
              <w:top w:val="single" w:sz="4" w:space="0" w:color="auto"/>
              <w:left w:val="single" w:sz="4" w:space="0" w:color="auto"/>
              <w:bottom w:val="single" w:sz="4" w:space="0" w:color="auto"/>
              <w:right w:val="single" w:sz="4" w:space="0" w:color="auto"/>
            </w:tcBorders>
            <w:hideMark/>
          </w:tcPr>
          <w:p w14:paraId="190FF67D" w14:textId="77777777" w:rsidR="00E4471C" w:rsidRPr="000752DD" w:rsidRDefault="00E4471C" w:rsidP="007F5E27">
            <w:pPr>
              <w:keepNext/>
              <w:keepLines/>
              <w:spacing w:after="0"/>
              <w:jc w:val="center"/>
            </w:pPr>
            <w:r w:rsidRPr="000752DD">
              <w:rPr>
                <w:rFonts w:ascii="Arial" w:hAnsi="Arial"/>
                <w:sz w:val="18"/>
              </w:rPr>
              <w:t>5.12 x N1 (8 x N1)</w:t>
            </w:r>
          </w:p>
        </w:tc>
      </w:tr>
      <w:tr w:rsidR="00E4471C" w:rsidRPr="000752DD" w14:paraId="3D0E7615" w14:textId="77777777" w:rsidTr="001300E3">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2113C6A1" w14:textId="77777777" w:rsidR="00E4471C" w:rsidRPr="000752DD" w:rsidRDefault="00E4471C" w:rsidP="007F5E27">
            <w:pPr>
              <w:keepNext/>
              <w:keepLines/>
              <w:spacing w:after="0"/>
              <w:jc w:val="center"/>
            </w:pPr>
            <w:r w:rsidRPr="000752DD">
              <w:rPr>
                <w:rFonts w:ascii="Arial" w:hAnsi="Arial"/>
                <w:sz w:val="18"/>
              </w:rPr>
              <w:t>1.28 x N1 (1 x N1)</w:t>
            </w:r>
          </w:p>
        </w:tc>
        <w:tc>
          <w:tcPr>
            <w:tcW w:w="2500" w:type="pct"/>
            <w:tcBorders>
              <w:top w:val="single" w:sz="4" w:space="0" w:color="auto"/>
              <w:left w:val="single" w:sz="4" w:space="0" w:color="auto"/>
              <w:bottom w:val="single" w:sz="4" w:space="0" w:color="auto"/>
              <w:right w:val="single" w:sz="4" w:space="0" w:color="auto"/>
            </w:tcBorders>
            <w:hideMark/>
          </w:tcPr>
          <w:p w14:paraId="0EB7D260" w14:textId="77777777" w:rsidR="00E4471C" w:rsidRPr="000752DD" w:rsidRDefault="00E4471C" w:rsidP="007F5E27">
            <w:pPr>
              <w:keepNext/>
              <w:keepLines/>
              <w:spacing w:after="0"/>
              <w:jc w:val="center"/>
            </w:pPr>
            <w:r w:rsidRPr="000752DD">
              <w:rPr>
                <w:rFonts w:ascii="Arial" w:hAnsi="Arial"/>
                <w:sz w:val="18"/>
              </w:rPr>
              <w:t>6.4 x N1 (5 x N1)</w:t>
            </w:r>
          </w:p>
        </w:tc>
      </w:tr>
      <w:tr w:rsidR="00E4471C" w:rsidRPr="000752DD" w14:paraId="215C483D" w14:textId="77777777" w:rsidTr="001300E3">
        <w:trPr>
          <w:cantSplit/>
          <w:jc w:val="center"/>
        </w:trPr>
        <w:tc>
          <w:tcPr>
            <w:tcW w:w="2500" w:type="pct"/>
            <w:tcBorders>
              <w:top w:val="single" w:sz="4" w:space="0" w:color="auto"/>
              <w:left w:val="single" w:sz="4" w:space="0" w:color="auto"/>
              <w:bottom w:val="single" w:sz="4" w:space="0" w:color="auto"/>
              <w:right w:val="single" w:sz="4" w:space="0" w:color="auto"/>
            </w:tcBorders>
            <w:hideMark/>
          </w:tcPr>
          <w:p w14:paraId="6ED4C8DC" w14:textId="77777777" w:rsidR="00E4471C" w:rsidRPr="000752DD" w:rsidRDefault="00E4471C" w:rsidP="007F5E27">
            <w:pPr>
              <w:keepNext/>
              <w:keepLines/>
              <w:spacing w:after="0"/>
              <w:jc w:val="center"/>
            </w:pPr>
            <w:r w:rsidRPr="000752DD">
              <w:rPr>
                <w:rFonts w:ascii="Arial" w:hAnsi="Arial"/>
                <w:sz w:val="18"/>
              </w:rPr>
              <w:t>2.56 x N1 (1 x N1)</w:t>
            </w:r>
          </w:p>
        </w:tc>
        <w:tc>
          <w:tcPr>
            <w:tcW w:w="2500" w:type="pct"/>
            <w:tcBorders>
              <w:top w:val="single" w:sz="4" w:space="0" w:color="auto"/>
              <w:left w:val="single" w:sz="4" w:space="0" w:color="auto"/>
              <w:bottom w:val="single" w:sz="4" w:space="0" w:color="auto"/>
              <w:right w:val="single" w:sz="4" w:space="0" w:color="auto"/>
            </w:tcBorders>
            <w:hideMark/>
          </w:tcPr>
          <w:p w14:paraId="742A99D4" w14:textId="77777777" w:rsidR="00E4471C" w:rsidRPr="000752DD" w:rsidRDefault="00E4471C" w:rsidP="007F5E27">
            <w:pPr>
              <w:keepNext/>
              <w:keepLines/>
              <w:spacing w:after="0"/>
              <w:jc w:val="center"/>
            </w:pPr>
            <w:r w:rsidRPr="000752DD">
              <w:rPr>
                <w:rFonts w:ascii="Arial" w:hAnsi="Arial"/>
                <w:sz w:val="18"/>
              </w:rPr>
              <w:t>7.68 x N1 (3 x N1)</w:t>
            </w:r>
          </w:p>
        </w:tc>
      </w:tr>
    </w:tbl>
    <w:p w14:paraId="449F58C7" w14:textId="31083526" w:rsidR="00E4471C" w:rsidRDefault="001300E3" w:rsidP="00AD1682">
      <w:pPr>
        <w:jc w:val="both"/>
        <w:rPr>
          <w:b/>
          <w:i/>
        </w:rPr>
      </w:pPr>
      <w:bookmarkStart w:id="5" w:name="_Ref16263837"/>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4</w:t>
      </w:r>
      <w:r w:rsidRPr="00226EF3">
        <w:rPr>
          <w:b/>
          <w:i/>
        </w:rPr>
        <w:fldChar w:fldCharType="end"/>
      </w:r>
      <w:r w:rsidRPr="00226EF3">
        <w:rPr>
          <w:b/>
          <w:i/>
        </w:rPr>
        <w:t>:</w:t>
      </w:r>
      <w:r>
        <w:rPr>
          <w:b/>
          <w:i/>
        </w:rPr>
        <w:t xml:space="preserve"> The evaluation time should be at least 2 times of measurement time for </w:t>
      </w:r>
      <w:r w:rsidRPr="001300E3">
        <w:rPr>
          <w:b/>
          <w:i/>
        </w:rPr>
        <w:t>initiation/cease of SLSS transmission.</w:t>
      </w:r>
      <w:bookmarkEnd w:id="5"/>
    </w:p>
    <w:p w14:paraId="628D0734" w14:textId="035B6C37" w:rsidR="00522956" w:rsidRDefault="007C5F0A" w:rsidP="007C5F0A">
      <w:pPr>
        <w:pStyle w:val="1"/>
        <w:numPr>
          <w:ilvl w:val="0"/>
          <w:numId w:val="2"/>
        </w:numPr>
        <w:rPr>
          <w:rFonts w:ascii="Calibri" w:hAnsi="Calibri"/>
        </w:rPr>
      </w:pPr>
      <w:r w:rsidRPr="007C5F0A">
        <w:rPr>
          <w:rFonts w:ascii="Calibri" w:hAnsi="Calibri"/>
        </w:rPr>
        <w:t xml:space="preserve">S-RSRP </w:t>
      </w:r>
    </w:p>
    <w:p w14:paraId="22A3836D" w14:textId="398E516E" w:rsidR="00615F2F" w:rsidRDefault="00615F2F" w:rsidP="00615F2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In NR, the SS-RSRP measurement definition is as follow.</w:t>
      </w:r>
    </w:p>
    <w:tbl>
      <w:tblPr>
        <w:tblStyle w:val="af4"/>
        <w:tblW w:w="0" w:type="auto"/>
        <w:tblLook w:val="04A0" w:firstRow="1" w:lastRow="0" w:firstColumn="1" w:lastColumn="0" w:noHBand="0" w:noVBand="1"/>
      </w:tblPr>
      <w:tblGrid>
        <w:gridCol w:w="9629"/>
      </w:tblGrid>
      <w:tr w:rsidR="00615F2F" w14:paraId="5240AF04" w14:textId="77777777" w:rsidTr="00615F2F">
        <w:tc>
          <w:tcPr>
            <w:tcW w:w="9629" w:type="dxa"/>
          </w:tcPr>
          <w:p w14:paraId="1CCBDFAE" w14:textId="77777777" w:rsidR="00615F2F" w:rsidRPr="00B718D8" w:rsidRDefault="00615F2F" w:rsidP="00615F2F">
            <w:pPr>
              <w:pStyle w:val="TAL"/>
              <w:rPr>
                <w:rFonts w:asciiTheme="minorHAnsi" w:hAnsiTheme="minorHAnsi" w:cstheme="minorHAnsi"/>
                <w:szCs w:val="18"/>
              </w:rPr>
            </w:pPr>
            <w:r w:rsidRPr="00B718D8">
              <w:rPr>
                <w:rFonts w:asciiTheme="minorHAnsi" w:hAnsiTheme="minorHAnsi" w:cstheme="minorHAnsi"/>
                <w:szCs w:val="18"/>
              </w:rPr>
              <w:t xml:space="preserve">SS reference signal received power (SS-RSRP) is defined as the linear average over the power contributions (in [W]) of the resource elements that carry </w:t>
            </w:r>
            <w:r w:rsidRPr="00B718D8">
              <w:rPr>
                <w:rFonts w:asciiTheme="minorHAnsi" w:hAnsiTheme="minorHAnsi" w:cstheme="minorHAnsi"/>
                <w:szCs w:val="18"/>
                <w:highlight w:val="yellow"/>
              </w:rPr>
              <w:t>secondary synchronization signals</w:t>
            </w:r>
            <w:r w:rsidRPr="00B718D8">
              <w:rPr>
                <w:rFonts w:asciiTheme="minorHAnsi" w:hAnsiTheme="minorHAnsi" w:cstheme="minorHAnsi"/>
                <w:szCs w:val="18"/>
              </w:rPr>
              <w:t>. The measurement time resource(s) for SS-RSRP are confined within SS/PBCH Block Measurement Time Configuration (SMTC) window duration. If SS-RSRP is used for L1-RSRP as configured by reporting configurations as defined in 3GPP TS 38.214 [6], the measurement time resources(s) restriction by SMTC window duration is not applicable.</w:t>
            </w:r>
          </w:p>
          <w:p w14:paraId="5459B7FC" w14:textId="6F459B8C" w:rsidR="00615F2F" w:rsidRPr="0004351A" w:rsidRDefault="00615F2F" w:rsidP="00615F2F">
            <w:pPr>
              <w:pStyle w:val="TAL"/>
              <w:rPr>
                <w:rFonts w:asciiTheme="minorHAnsi" w:hAnsiTheme="minorHAnsi" w:cstheme="minorHAnsi"/>
                <w:szCs w:val="18"/>
              </w:rPr>
            </w:pPr>
            <w:r w:rsidRPr="00B718D8">
              <w:rPr>
                <w:rFonts w:asciiTheme="minorHAnsi" w:hAnsiTheme="minorHAnsi" w:cstheme="minorHAnsi"/>
                <w:szCs w:val="18"/>
              </w:rPr>
              <w:t xml:space="preserve">For SS-RSRP determination demodulation reference signals for physical broadcast channel (PBCH) and, if indicated by higher layers, CSI reference signals in addition to secondary synchronization signals </w:t>
            </w:r>
            <w:r w:rsidRPr="0004351A">
              <w:rPr>
                <w:rFonts w:asciiTheme="minorHAnsi" w:hAnsiTheme="minorHAnsi" w:cstheme="minorHAnsi"/>
                <w:szCs w:val="18"/>
                <w:highlight w:val="yellow"/>
              </w:rPr>
              <w:t>may be</w:t>
            </w:r>
            <w:r w:rsidRPr="00B718D8">
              <w:rPr>
                <w:rFonts w:asciiTheme="minorHAnsi" w:hAnsiTheme="minorHAnsi" w:cstheme="minorHAnsi"/>
                <w:szCs w:val="18"/>
              </w:rPr>
              <w:t xml:space="preserv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 </w:t>
            </w:r>
            <w:r w:rsidRPr="0004351A">
              <w:rPr>
                <w:rFonts w:asciiTheme="minorHAnsi" w:hAnsiTheme="minorHAnsi" w:cstheme="minorHAnsi"/>
                <w:szCs w:val="18"/>
              </w:rPr>
              <w:t>If SS-RSRP is not used for L1-RSRP, the additional use of CSI reference signals for SS-RSRP determination is not applicable.</w:t>
            </w:r>
          </w:p>
          <w:p w14:paraId="59CE1677" w14:textId="02E42E47" w:rsidR="00B718D8" w:rsidRPr="00615F2F" w:rsidRDefault="00B718D8" w:rsidP="00615F2F">
            <w:pPr>
              <w:pStyle w:val="TAL"/>
              <w:rPr>
                <w:rFonts w:asciiTheme="minorHAnsi" w:hAnsiTheme="minorHAnsi"/>
                <w:sz w:val="22"/>
              </w:rPr>
            </w:pPr>
            <w:r w:rsidRPr="00B718D8">
              <w:rPr>
                <w:rFonts w:asciiTheme="minorHAnsi" w:hAnsiTheme="minorHAnsi" w:cstheme="minorHAnsi"/>
                <w:szCs w:val="18"/>
              </w:rPr>
              <w:t>…</w:t>
            </w:r>
          </w:p>
        </w:tc>
      </w:tr>
    </w:tbl>
    <w:p w14:paraId="6B7A3775" w14:textId="238AEF26" w:rsidR="00615F2F" w:rsidRPr="00615F2F" w:rsidRDefault="00615F2F" w:rsidP="00615F2F">
      <w:pPr>
        <w:pStyle w:val="af0"/>
        <w:rPr>
          <w:i/>
          <w:sz w:val="22"/>
          <w:szCs w:val="22"/>
          <w:lang w:val="en-US" w:eastAsia="zh-CN"/>
        </w:rPr>
      </w:pPr>
      <w:bookmarkStart w:id="6" w:name="_Ref16263819"/>
      <w:r w:rsidRPr="00615F2F">
        <w:rPr>
          <w:i/>
          <w:sz w:val="22"/>
          <w:szCs w:val="22"/>
          <w:lang w:val="en-US" w:eastAsia="zh-CN"/>
        </w:rPr>
        <w:t xml:space="preserve">Observation </w:t>
      </w:r>
      <w:r w:rsidRPr="00615F2F">
        <w:rPr>
          <w:i/>
          <w:sz w:val="22"/>
          <w:szCs w:val="22"/>
          <w:lang w:val="en-US" w:eastAsia="zh-CN"/>
        </w:rPr>
        <w:fldChar w:fldCharType="begin"/>
      </w:r>
      <w:r w:rsidRPr="00615F2F">
        <w:rPr>
          <w:i/>
          <w:sz w:val="22"/>
          <w:szCs w:val="22"/>
          <w:lang w:val="en-US" w:eastAsia="zh-CN"/>
        </w:rPr>
        <w:instrText xml:space="preserve"> SEQ Observation \* ARABIC </w:instrText>
      </w:r>
      <w:r w:rsidRPr="00615F2F">
        <w:rPr>
          <w:i/>
          <w:sz w:val="22"/>
          <w:szCs w:val="22"/>
          <w:lang w:val="en-US" w:eastAsia="zh-CN"/>
        </w:rPr>
        <w:fldChar w:fldCharType="separate"/>
      </w:r>
      <w:r w:rsidR="001C3D89">
        <w:rPr>
          <w:i/>
          <w:noProof/>
          <w:sz w:val="22"/>
          <w:szCs w:val="22"/>
          <w:lang w:val="en-US" w:eastAsia="zh-CN"/>
        </w:rPr>
        <w:t>1</w:t>
      </w:r>
      <w:r w:rsidRPr="00615F2F">
        <w:rPr>
          <w:i/>
          <w:sz w:val="22"/>
          <w:szCs w:val="22"/>
          <w:lang w:val="en-US" w:eastAsia="zh-CN"/>
        </w:rPr>
        <w:fldChar w:fldCharType="end"/>
      </w:r>
      <w:r w:rsidRPr="00615F2F">
        <w:rPr>
          <w:i/>
          <w:sz w:val="22"/>
          <w:szCs w:val="22"/>
          <w:lang w:val="en-US" w:eastAsia="zh-CN"/>
        </w:rPr>
        <w:t xml:space="preserve">. SS-RSRP is defined based on SSS in NR. </w:t>
      </w:r>
      <w:r w:rsidRPr="0004351A">
        <w:rPr>
          <w:i/>
          <w:sz w:val="22"/>
          <w:szCs w:val="22"/>
          <w:lang w:val="en-US" w:eastAsia="zh-CN"/>
        </w:rPr>
        <w:t>DMRS of PBCH is optional.</w:t>
      </w:r>
      <w:bookmarkEnd w:id="6"/>
    </w:p>
    <w:p w14:paraId="3AACE536" w14:textId="1097EE94" w:rsidR="0080011C" w:rsidRDefault="00615F2F" w:rsidP="0080011C">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Currently, RAN1 also have some agreements for the NR V2X synchronization signals design. S-SSS uses two repetition sequence with the same length as NR. Thus, NR V2X UE </w:t>
      </w:r>
      <w:r w:rsidR="00BA1D77">
        <w:rPr>
          <w:rFonts w:asciiTheme="minorHAnsi" w:eastAsiaTheme="minorEastAsia" w:hAnsiTheme="minorHAnsi" w:cstheme="minorBidi"/>
          <w:color w:val="auto"/>
          <w:sz w:val="22"/>
          <w:szCs w:val="22"/>
        </w:rPr>
        <w:t>could choose</w:t>
      </w:r>
      <w:r>
        <w:rPr>
          <w:rFonts w:asciiTheme="minorHAnsi" w:eastAsiaTheme="minorEastAsia" w:hAnsiTheme="minorHAnsi" w:cstheme="minorBidi"/>
          <w:color w:val="auto"/>
          <w:sz w:val="22"/>
          <w:szCs w:val="22"/>
        </w:rPr>
        <w:t xml:space="preserve"> m</w:t>
      </w:r>
      <w:r w:rsidR="00BA1D77">
        <w:rPr>
          <w:rFonts w:asciiTheme="minorHAnsi" w:eastAsiaTheme="minorEastAsia" w:hAnsiTheme="minorHAnsi" w:cstheme="minorBidi"/>
          <w:color w:val="auto"/>
          <w:sz w:val="22"/>
          <w:szCs w:val="22"/>
        </w:rPr>
        <w:t>ore measurement elements than NR UE.</w:t>
      </w:r>
      <w:r w:rsidR="0080011C">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0011C" w14:paraId="338F03F7" w14:textId="77777777" w:rsidTr="007F5E27">
        <w:tc>
          <w:tcPr>
            <w:tcW w:w="9629" w:type="dxa"/>
          </w:tcPr>
          <w:p w14:paraId="15E22468" w14:textId="77777777" w:rsidR="0080011C" w:rsidRPr="00B718D8" w:rsidRDefault="0080011C" w:rsidP="007F5E27">
            <w:pPr>
              <w:spacing w:after="0"/>
              <w:jc w:val="both"/>
              <w:rPr>
                <w:rFonts w:ascii="Times New Roman" w:hAnsi="Times New Roman"/>
                <w:sz w:val="20"/>
                <w:szCs w:val="20"/>
                <w:highlight w:val="green"/>
              </w:rPr>
            </w:pPr>
            <w:r w:rsidRPr="00B718D8">
              <w:rPr>
                <w:sz w:val="20"/>
                <w:lang w:val="en-GB"/>
              </w:rPr>
              <w:t>RAN1 #96bis meeting</w:t>
            </w:r>
          </w:p>
          <w:p w14:paraId="1F9B70D1" w14:textId="77777777" w:rsidR="0080011C" w:rsidRPr="00B718D8" w:rsidRDefault="0080011C" w:rsidP="007F5E27">
            <w:pPr>
              <w:spacing w:after="0"/>
              <w:jc w:val="both"/>
              <w:rPr>
                <w:rFonts w:cstheme="minorHAnsi"/>
                <w:sz w:val="20"/>
                <w:szCs w:val="20"/>
              </w:rPr>
            </w:pPr>
            <w:r w:rsidRPr="00B718D8">
              <w:rPr>
                <w:rFonts w:cstheme="minorHAnsi"/>
                <w:sz w:val="20"/>
                <w:szCs w:val="20"/>
                <w:highlight w:val="green"/>
              </w:rPr>
              <w:t>Agreements</w:t>
            </w:r>
            <w:r w:rsidRPr="00B718D8">
              <w:rPr>
                <w:rFonts w:cstheme="minorHAnsi"/>
                <w:sz w:val="20"/>
                <w:szCs w:val="20"/>
              </w:rPr>
              <w:t>:</w:t>
            </w:r>
          </w:p>
          <w:p w14:paraId="2943BCE5" w14:textId="77777777" w:rsidR="0080011C" w:rsidRPr="00B718D8" w:rsidRDefault="0080011C" w:rsidP="007F5E27">
            <w:pPr>
              <w:numPr>
                <w:ilvl w:val="0"/>
                <w:numId w:val="23"/>
              </w:numPr>
              <w:spacing w:after="0" w:line="240" w:lineRule="auto"/>
              <w:jc w:val="both"/>
              <w:rPr>
                <w:rFonts w:cstheme="minorHAnsi"/>
                <w:sz w:val="20"/>
                <w:szCs w:val="20"/>
              </w:rPr>
            </w:pPr>
            <w:r w:rsidRPr="00B718D8">
              <w:rPr>
                <w:rFonts w:cstheme="minorHAnsi"/>
                <w:sz w:val="20"/>
                <w:szCs w:val="20"/>
              </w:rPr>
              <w:t xml:space="preserve">In NR V2X, S-SSB bandwidth is 11RBs. </w:t>
            </w:r>
          </w:p>
          <w:p w14:paraId="26B27529" w14:textId="77777777" w:rsidR="0080011C" w:rsidRPr="00B718D8" w:rsidRDefault="0080011C" w:rsidP="007F5E27">
            <w:pPr>
              <w:numPr>
                <w:ilvl w:val="1"/>
                <w:numId w:val="23"/>
              </w:numPr>
              <w:spacing w:after="0" w:line="240" w:lineRule="auto"/>
              <w:jc w:val="both"/>
              <w:rPr>
                <w:rFonts w:cstheme="minorHAnsi"/>
                <w:sz w:val="20"/>
                <w:szCs w:val="20"/>
              </w:rPr>
            </w:pPr>
            <w:r w:rsidRPr="00B718D8">
              <w:rPr>
                <w:rFonts w:cstheme="minorHAnsi"/>
                <w:sz w:val="20"/>
                <w:szCs w:val="20"/>
              </w:rPr>
              <w:t>PSBCH spans 11RBs.</w:t>
            </w:r>
          </w:p>
          <w:p w14:paraId="274562D0" w14:textId="77777777" w:rsidR="0080011C" w:rsidRPr="00B718D8" w:rsidRDefault="0080011C" w:rsidP="007F5E27">
            <w:pPr>
              <w:numPr>
                <w:ilvl w:val="0"/>
                <w:numId w:val="23"/>
              </w:numPr>
              <w:spacing w:after="0" w:line="240" w:lineRule="auto"/>
              <w:jc w:val="both"/>
              <w:rPr>
                <w:rFonts w:cstheme="minorHAnsi"/>
                <w:sz w:val="20"/>
                <w:szCs w:val="20"/>
              </w:rPr>
            </w:pPr>
            <w:r w:rsidRPr="00B718D8">
              <w:rPr>
                <w:rFonts w:cstheme="minorHAnsi"/>
                <w:sz w:val="20"/>
                <w:szCs w:val="20"/>
              </w:rPr>
              <w:t>The S-SSB is designed following combination 1.</w:t>
            </w:r>
          </w:p>
          <w:p w14:paraId="2BEC92E4" w14:textId="77777777" w:rsidR="0080011C" w:rsidRPr="00B718D8" w:rsidRDefault="0080011C" w:rsidP="007F5E27">
            <w:pPr>
              <w:numPr>
                <w:ilvl w:val="1"/>
                <w:numId w:val="23"/>
              </w:numPr>
              <w:spacing w:after="0" w:line="240" w:lineRule="auto"/>
              <w:jc w:val="both"/>
              <w:rPr>
                <w:rFonts w:cstheme="minorHAnsi"/>
                <w:sz w:val="20"/>
                <w:szCs w:val="20"/>
              </w:rPr>
            </w:pPr>
            <w:r w:rsidRPr="00B718D8">
              <w:rPr>
                <w:rFonts w:cstheme="minorHAnsi"/>
                <w:sz w:val="20"/>
                <w:szCs w:val="20"/>
              </w:rPr>
              <w:t>Length-127 M-sequences for S-PSS and length-127 Gold sequences for S-SSS</w:t>
            </w:r>
          </w:p>
          <w:p w14:paraId="2DCBF9B0" w14:textId="77777777" w:rsidR="0080011C" w:rsidRPr="00B718D8" w:rsidRDefault="0080011C" w:rsidP="007F5E27">
            <w:pPr>
              <w:numPr>
                <w:ilvl w:val="1"/>
                <w:numId w:val="23"/>
              </w:numPr>
              <w:spacing w:after="0" w:line="240" w:lineRule="auto"/>
              <w:jc w:val="both"/>
              <w:rPr>
                <w:sz w:val="20"/>
              </w:rPr>
            </w:pPr>
            <w:r w:rsidRPr="00B718D8">
              <w:rPr>
                <w:rFonts w:cstheme="minorHAnsi"/>
                <w:sz w:val="20"/>
                <w:szCs w:val="20"/>
              </w:rPr>
              <w:t>Two symbols are used for each of S-PSS and S-SSS, respectively.</w:t>
            </w:r>
          </w:p>
          <w:p w14:paraId="0536AC02" w14:textId="77777777" w:rsidR="0080011C" w:rsidRPr="00B718D8" w:rsidRDefault="0080011C" w:rsidP="007F5E27">
            <w:pPr>
              <w:spacing w:after="0"/>
              <w:jc w:val="both"/>
              <w:rPr>
                <w:rFonts w:ascii="Times New Roman" w:hAnsi="Times New Roman"/>
                <w:sz w:val="20"/>
                <w:szCs w:val="20"/>
                <w:highlight w:val="green"/>
              </w:rPr>
            </w:pPr>
            <w:r w:rsidRPr="00B718D8">
              <w:rPr>
                <w:sz w:val="20"/>
                <w:lang w:val="en-GB"/>
              </w:rPr>
              <w:t>RAN1 #97 meeting</w:t>
            </w:r>
          </w:p>
          <w:p w14:paraId="1D717EC1" w14:textId="77777777" w:rsidR="0080011C" w:rsidRPr="00B718D8" w:rsidRDefault="0080011C" w:rsidP="007F5E27">
            <w:pPr>
              <w:rPr>
                <w:rFonts w:ascii="Times New Roman" w:hAnsi="Times New Roman"/>
                <w:sz w:val="20"/>
                <w:highlight w:val="darkYellow"/>
              </w:rPr>
            </w:pPr>
            <w:r w:rsidRPr="00B718D8">
              <w:rPr>
                <w:rFonts w:ascii="Times New Roman" w:hAnsi="Times New Roman"/>
                <w:sz w:val="20"/>
                <w:highlight w:val="darkYellow"/>
              </w:rPr>
              <w:t>Working assumption:</w:t>
            </w:r>
          </w:p>
          <w:p w14:paraId="2618642B" w14:textId="77777777" w:rsidR="0080011C" w:rsidRPr="00B718D8" w:rsidRDefault="0080011C" w:rsidP="007F5E27">
            <w:pPr>
              <w:numPr>
                <w:ilvl w:val="0"/>
                <w:numId w:val="23"/>
              </w:numPr>
              <w:spacing w:after="0" w:line="240" w:lineRule="auto"/>
              <w:jc w:val="both"/>
              <w:rPr>
                <w:rFonts w:cstheme="minorHAnsi"/>
                <w:sz w:val="20"/>
                <w:szCs w:val="20"/>
              </w:rPr>
            </w:pPr>
            <w:r w:rsidRPr="00B718D8">
              <w:rPr>
                <w:rFonts w:cstheme="minorHAnsi"/>
                <w:sz w:val="20"/>
                <w:szCs w:val="20"/>
              </w:rPr>
              <w:t xml:space="preserve">For the NR SLSS, </w:t>
            </w:r>
          </w:p>
          <w:p w14:paraId="10C785FD" w14:textId="77777777" w:rsidR="0080011C" w:rsidRPr="00B718D8" w:rsidRDefault="0080011C" w:rsidP="007F5E27">
            <w:pPr>
              <w:numPr>
                <w:ilvl w:val="1"/>
                <w:numId w:val="23"/>
              </w:numPr>
              <w:spacing w:after="0" w:line="240" w:lineRule="auto"/>
              <w:jc w:val="both"/>
              <w:rPr>
                <w:rFonts w:cstheme="minorHAnsi"/>
                <w:sz w:val="20"/>
                <w:szCs w:val="20"/>
              </w:rPr>
            </w:pPr>
            <w:r w:rsidRPr="00B718D8">
              <w:rPr>
                <w:rFonts w:cstheme="minorHAnsi"/>
                <w:sz w:val="20"/>
                <w:szCs w:val="20"/>
              </w:rPr>
              <w:t>Same sequence is used for both symbols of S-PSS</w:t>
            </w:r>
          </w:p>
          <w:p w14:paraId="516BEF82" w14:textId="77777777" w:rsidR="0080011C" w:rsidRPr="00B718D8" w:rsidRDefault="0080011C" w:rsidP="007F5E27">
            <w:pPr>
              <w:numPr>
                <w:ilvl w:val="1"/>
                <w:numId w:val="23"/>
              </w:numPr>
              <w:spacing w:after="0" w:line="240" w:lineRule="auto"/>
              <w:jc w:val="both"/>
              <w:rPr>
                <w:rFonts w:cstheme="minorHAnsi"/>
                <w:sz w:val="20"/>
                <w:szCs w:val="20"/>
              </w:rPr>
            </w:pPr>
            <w:r w:rsidRPr="00B718D8">
              <w:rPr>
                <w:rFonts w:cstheme="minorHAnsi"/>
                <w:sz w:val="20"/>
                <w:szCs w:val="20"/>
              </w:rPr>
              <w:t>Same sequence is used for both symbols of S-SSS</w:t>
            </w:r>
          </w:p>
          <w:p w14:paraId="34D03BB3" w14:textId="77777777" w:rsidR="0080011C" w:rsidRPr="00794363" w:rsidRDefault="0080011C" w:rsidP="007F5E27">
            <w:pPr>
              <w:pStyle w:val="af7"/>
              <w:numPr>
                <w:ilvl w:val="0"/>
                <w:numId w:val="23"/>
              </w:numPr>
              <w:spacing w:line="240" w:lineRule="auto"/>
              <w:jc w:val="both"/>
              <w:rPr>
                <w:sz w:val="22"/>
                <w:szCs w:val="22"/>
              </w:rPr>
            </w:pPr>
            <w:r w:rsidRPr="00B718D8">
              <w:rPr>
                <w:rFonts w:eastAsia="等线"/>
                <w:szCs w:val="22"/>
                <w:lang w:eastAsia="zh-CN"/>
              </w:rPr>
              <w:t>S-PSS detection search window: 80ms and 160ms.</w:t>
            </w:r>
          </w:p>
        </w:tc>
      </w:tr>
    </w:tbl>
    <w:p w14:paraId="1A51C5FE" w14:textId="77777777" w:rsidR="0080011C" w:rsidRDefault="0080011C" w:rsidP="00615F2F">
      <w:pPr>
        <w:pStyle w:val="Default"/>
        <w:jc w:val="both"/>
        <w:rPr>
          <w:rFonts w:asciiTheme="minorHAnsi" w:eastAsiaTheme="minorEastAsia" w:hAnsiTheme="minorHAnsi" w:cstheme="minorBidi"/>
          <w:color w:val="auto"/>
          <w:sz w:val="22"/>
          <w:szCs w:val="22"/>
        </w:rPr>
      </w:pPr>
    </w:p>
    <w:p w14:paraId="7F273718" w14:textId="052D026E" w:rsidR="00B0796E" w:rsidRDefault="0080011C" w:rsidP="0080011C">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Obviously, the S-RSRP measurement performance will be the same as NR if UE only choose one SSS symbol.</w:t>
      </w:r>
      <w:r w:rsidR="00673884" w:rsidRPr="00673884">
        <w:rPr>
          <w:rFonts w:asciiTheme="minorHAnsi" w:eastAsiaTheme="minorEastAsia" w:hAnsiTheme="minorHAnsi" w:cstheme="minorBidi"/>
          <w:color w:val="auto"/>
          <w:sz w:val="22"/>
          <w:szCs w:val="22"/>
        </w:rPr>
        <w:t xml:space="preserve"> </w:t>
      </w:r>
      <w:r w:rsidR="00673884">
        <w:rPr>
          <w:rFonts w:asciiTheme="minorHAnsi" w:eastAsiaTheme="minorEastAsia" w:hAnsiTheme="minorHAnsi" w:cstheme="minorBidi"/>
          <w:color w:val="auto"/>
          <w:sz w:val="22"/>
          <w:szCs w:val="22"/>
        </w:rPr>
        <w:t xml:space="preserve">In NR V2X, it is worthwhile to check how much measurement improvement can be achieved by additional SSS symbol. </w:t>
      </w:r>
      <w:r>
        <w:rPr>
          <w:rFonts w:asciiTheme="minorHAnsi" w:eastAsiaTheme="minorEastAsia" w:hAnsiTheme="minorHAnsi" w:cstheme="minorBidi"/>
          <w:color w:val="auto"/>
          <w:sz w:val="22"/>
          <w:szCs w:val="22"/>
        </w:rPr>
        <w:t xml:space="preserve"> </w:t>
      </w:r>
    </w:p>
    <w:p w14:paraId="091BD430" w14:textId="45005CAB" w:rsidR="00407EEA" w:rsidRDefault="00B0796E" w:rsidP="0080011C">
      <w:pPr>
        <w:pStyle w:val="Default"/>
        <w:jc w:val="both"/>
        <w:rPr>
          <w:rFonts w:asciiTheme="minorHAnsi" w:eastAsiaTheme="minorEastAsia" w:hAnsiTheme="minorHAnsi" w:cstheme="minorBidi"/>
          <w:color w:val="auto"/>
          <w:sz w:val="22"/>
          <w:szCs w:val="22"/>
        </w:rPr>
      </w:pPr>
      <w:r w:rsidRPr="00673884">
        <w:rPr>
          <w:rFonts w:asciiTheme="minorHAnsi" w:eastAsiaTheme="minorEastAsia" w:hAnsiTheme="minorHAnsi" w:cstheme="minorBidi"/>
          <w:color w:val="auto"/>
          <w:sz w:val="22"/>
          <w:szCs w:val="22"/>
        </w:rPr>
        <w:t xml:space="preserve">To compare the performance gain for two symbol </w:t>
      </w:r>
      <w:r w:rsidR="00673884" w:rsidRPr="00673884">
        <w:rPr>
          <w:rFonts w:asciiTheme="minorHAnsi" w:eastAsiaTheme="minorEastAsia" w:hAnsiTheme="minorHAnsi" w:cstheme="minorBidi"/>
          <w:color w:val="auto"/>
          <w:sz w:val="22"/>
          <w:szCs w:val="22"/>
        </w:rPr>
        <w:t>S-</w:t>
      </w:r>
      <w:r w:rsidRPr="00673884">
        <w:rPr>
          <w:rFonts w:asciiTheme="minorHAnsi" w:eastAsiaTheme="minorEastAsia" w:hAnsiTheme="minorHAnsi" w:cstheme="minorBidi"/>
          <w:color w:val="auto"/>
          <w:sz w:val="22"/>
          <w:szCs w:val="22"/>
        </w:rPr>
        <w:t>SSS S-RSRP</w:t>
      </w:r>
      <w:r w:rsidR="00673884" w:rsidRPr="00673884">
        <w:rPr>
          <w:rFonts w:asciiTheme="minorHAnsi" w:eastAsiaTheme="minorEastAsia" w:hAnsiTheme="minorHAnsi" w:cstheme="minorBidi"/>
          <w:color w:val="auto"/>
          <w:sz w:val="22"/>
          <w:szCs w:val="22"/>
        </w:rPr>
        <w:t xml:space="preserve"> over one symbol S-SSS</w:t>
      </w:r>
      <w:r w:rsidRPr="00673884">
        <w:rPr>
          <w:rFonts w:asciiTheme="minorHAnsi" w:eastAsiaTheme="minorEastAsia" w:hAnsiTheme="minorHAnsi" w:cstheme="minorBidi"/>
          <w:color w:val="auto"/>
          <w:sz w:val="22"/>
          <w:szCs w:val="22"/>
        </w:rPr>
        <w:t xml:space="preserve">, the preliminary simulation results are shown as follow. </w:t>
      </w:r>
      <w:r w:rsidRPr="00673884">
        <w:rPr>
          <w:rFonts w:asciiTheme="minorHAnsi" w:eastAsiaTheme="minorEastAsia" w:hAnsiTheme="minorHAnsi" w:cstheme="minorBidi" w:hint="eastAsia"/>
          <w:color w:val="auto"/>
          <w:sz w:val="22"/>
          <w:szCs w:val="22"/>
        </w:rPr>
        <w:t>T</w:t>
      </w:r>
      <w:r w:rsidRPr="00673884">
        <w:rPr>
          <w:rFonts w:asciiTheme="minorHAnsi" w:eastAsiaTheme="minorEastAsia" w:hAnsiTheme="minorHAnsi" w:cstheme="minorBidi"/>
          <w:color w:val="auto"/>
          <w:sz w:val="22"/>
          <w:szCs w:val="22"/>
        </w:rPr>
        <w:t>able 1 provides the delta RSRP statics based on sample number N=2 which is the agreed measure</w:t>
      </w:r>
      <w:r w:rsidR="00673884" w:rsidRPr="00673884">
        <w:rPr>
          <w:rFonts w:asciiTheme="minorHAnsi" w:eastAsiaTheme="minorEastAsia" w:hAnsiTheme="minorHAnsi" w:cstheme="minorBidi"/>
          <w:color w:val="auto"/>
          <w:sz w:val="22"/>
          <w:szCs w:val="22"/>
        </w:rPr>
        <w:t>ment</w:t>
      </w:r>
      <w:r w:rsidRPr="00673884">
        <w:rPr>
          <w:rFonts w:asciiTheme="minorHAnsi" w:eastAsiaTheme="minorEastAsia" w:hAnsiTheme="minorHAnsi" w:cstheme="minorBidi"/>
          <w:color w:val="auto"/>
          <w:sz w:val="22"/>
          <w:szCs w:val="22"/>
        </w:rPr>
        <w:t xml:space="preserve"> sample number in legacy LTE, with any 2 samples separated by at least 160ms. According to the simulation results, we can see that the </w:t>
      </w:r>
      <w:r w:rsidR="00B71040" w:rsidRPr="00673884">
        <w:rPr>
          <w:rFonts w:asciiTheme="minorHAnsi" w:eastAsiaTheme="minorEastAsia" w:hAnsiTheme="minorHAnsi" w:cstheme="minorBidi"/>
          <w:color w:val="auto"/>
          <w:sz w:val="22"/>
          <w:szCs w:val="22"/>
        </w:rPr>
        <w:t>S-</w:t>
      </w:r>
      <w:r w:rsidRPr="00673884">
        <w:rPr>
          <w:rFonts w:asciiTheme="minorHAnsi" w:eastAsiaTheme="minorEastAsia" w:hAnsiTheme="minorHAnsi" w:cstheme="minorBidi"/>
          <w:color w:val="auto"/>
          <w:sz w:val="22"/>
          <w:szCs w:val="22"/>
        </w:rPr>
        <w:t xml:space="preserve">RSRP absolute accuracy difference between two S-SSS symbols and one S-SSS symbol is approximately about 0.2dB </w:t>
      </w:r>
      <w:r w:rsidR="00B71040" w:rsidRPr="00673884">
        <w:rPr>
          <w:rFonts w:asciiTheme="minorHAnsi" w:eastAsiaTheme="minorEastAsia" w:hAnsiTheme="minorHAnsi" w:cstheme="minorBidi"/>
          <w:color w:val="auto"/>
          <w:sz w:val="22"/>
          <w:szCs w:val="22"/>
        </w:rPr>
        <w:t>when N=2</w:t>
      </w:r>
      <w:r w:rsidRPr="00673884">
        <w:rPr>
          <w:rFonts w:asciiTheme="minorHAnsi" w:eastAsiaTheme="minorEastAsia" w:hAnsiTheme="minorHAnsi" w:cstheme="minorBidi"/>
          <w:color w:val="auto"/>
          <w:sz w:val="22"/>
          <w:szCs w:val="22"/>
        </w:rPr>
        <w:t>.</w:t>
      </w:r>
    </w:p>
    <w:p w14:paraId="58FD828B" w14:textId="106A4421" w:rsidR="00B0796E" w:rsidRDefault="00B0796E" w:rsidP="0080011C">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lastRenderedPageBreak/>
        <w:t xml:space="preserve"> </w:t>
      </w:r>
      <w:r w:rsidR="00D56959">
        <w:rPr>
          <w:noProof/>
        </w:rPr>
        <w:drawing>
          <wp:inline distT="0" distB="0" distL="0" distR="0" wp14:anchorId="08DA2BC0" wp14:editId="0B23D948">
            <wp:extent cx="3015820" cy="2509113"/>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7015" cy="2526747"/>
                    </a:xfrm>
                    <a:prstGeom prst="rect">
                      <a:avLst/>
                    </a:prstGeom>
                  </pic:spPr>
                </pic:pic>
              </a:graphicData>
            </a:graphic>
          </wp:inline>
        </w:drawing>
      </w:r>
      <w:r w:rsidR="00D56959">
        <w:rPr>
          <w:noProof/>
        </w:rPr>
        <w:drawing>
          <wp:inline distT="0" distB="0" distL="0" distR="0" wp14:anchorId="57C45F3B" wp14:editId="20EA5E2A">
            <wp:extent cx="2995066" cy="251609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18167" cy="2535505"/>
                    </a:xfrm>
                    <a:prstGeom prst="rect">
                      <a:avLst/>
                    </a:prstGeom>
                  </pic:spPr>
                </pic:pic>
              </a:graphicData>
            </a:graphic>
          </wp:inline>
        </w:drawing>
      </w:r>
    </w:p>
    <w:p w14:paraId="1279F2C3" w14:textId="2F6442AD" w:rsidR="00B71040" w:rsidRPr="00B71040" w:rsidRDefault="00B71040" w:rsidP="00B71040">
      <w:pPr>
        <w:pStyle w:val="af0"/>
        <w:rPr>
          <w:i/>
          <w:sz w:val="22"/>
          <w:szCs w:val="22"/>
          <w:lang w:val="en-US" w:eastAsia="zh-CN"/>
        </w:rPr>
      </w:pPr>
      <w:bookmarkStart w:id="7" w:name="_Ref16774400"/>
      <w:r w:rsidRPr="00B71040">
        <w:rPr>
          <w:i/>
          <w:sz w:val="22"/>
          <w:szCs w:val="22"/>
          <w:lang w:val="en-US" w:eastAsia="zh-CN"/>
        </w:rPr>
        <w:t xml:space="preserve">Observation </w:t>
      </w:r>
      <w:r w:rsidRPr="00B71040">
        <w:rPr>
          <w:i/>
          <w:sz w:val="22"/>
          <w:szCs w:val="22"/>
          <w:lang w:val="en-US" w:eastAsia="zh-CN"/>
        </w:rPr>
        <w:fldChar w:fldCharType="begin"/>
      </w:r>
      <w:r w:rsidRPr="00B71040">
        <w:rPr>
          <w:i/>
          <w:sz w:val="22"/>
          <w:szCs w:val="22"/>
          <w:lang w:val="en-US" w:eastAsia="zh-CN"/>
        </w:rPr>
        <w:instrText xml:space="preserve"> SEQ Observation \* ARABIC </w:instrText>
      </w:r>
      <w:r w:rsidRPr="00B71040">
        <w:rPr>
          <w:i/>
          <w:sz w:val="22"/>
          <w:szCs w:val="22"/>
          <w:lang w:val="en-US" w:eastAsia="zh-CN"/>
        </w:rPr>
        <w:fldChar w:fldCharType="separate"/>
      </w:r>
      <w:r w:rsidR="001C3D89">
        <w:rPr>
          <w:i/>
          <w:noProof/>
          <w:sz w:val="22"/>
          <w:szCs w:val="22"/>
          <w:lang w:val="en-US" w:eastAsia="zh-CN"/>
        </w:rPr>
        <w:t>2</w:t>
      </w:r>
      <w:r w:rsidRPr="00B71040">
        <w:rPr>
          <w:i/>
          <w:sz w:val="22"/>
          <w:szCs w:val="22"/>
          <w:lang w:val="en-US" w:eastAsia="zh-CN"/>
        </w:rPr>
        <w:fldChar w:fldCharType="end"/>
      </w:r>
      <w:r w:rsidRPr="00B71040">
        <w:rPr>
          <w:i/>
          <w:sz w:val="22"/>
          <w:szCs w:val="22"/>
          <w:lang w:val="en-US" w:eastAsia="zh-CN"/>
        </w:rPr>
        <w:t>: The S-RSRP absolute accuracy difference between two S-SSS symbols and one S-SSS symbol is approximately about 0.2dB when sample number N=2.</w:t>
      </w:r>
      <w:bookmarkEnd w:id="7"/>
    </w:p>
    <w:p w14:paraId="7EEBAFA6" w14:textId="1085FC92" w:rsidR="0080011C" w:rsidRDefault="00BA1D77" w:rsidP="0080011C">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It can’t foresee much benefit to use 2 S-SSS symbols to calculate the S-RSRP but increasing UE’s complexity. To speed up the </w:t>
      </w:r>
      <w:r w:rsidR="007E609B">
        <w:rPr>
          <w:rFonts w:asciiTheme="minorHAnsi" w:eastAsiaTheme="minorEastAsia" w:hAnsiTheme="minorHAnsi" w:cstheme="minorBidi"/>
          <w:color w:val="auto"/>
          <w:sz w:val="22"/>
          <w:szCs w:val="22"/>
        </w:rPr>
        <w:t xml:space="preserve">RAN4 V2X schedule, it’s better to re-use current NR’s conclusion </w:t>
      </w:r>
      <w:r w:rsidR="0080011C">
        <w:rPr>
          <w:rFonts w:asciiTheme="minorHAnsi" w:eastAsiaTheme="minorEastAsia" w:hAnsiTheme="minorHAnsi" w:cstheme="minorBidi"/>
          <w:color w:val="auto"/>
          <w:sz w:val="22"/>
          <w:szCs w:val="22"/>
        </w:rPr>
        <w:t>with one SSS symbol a</w:t>
      </w:r>
      <w:r w:rsidR="007E609B">
        <w:rPr>
          <w:rFonts w:asciiTheme="minorHAnsi" w:eastAsiaTheme="minorEastAsia" w:hAnsiTheme="minorHAnsi" w:cstheme="minorBidi"/>
          <w:color w:val="auto"/>
          <w:sz w:val="22"/>
          <w:szCs w:val="22"/>
        </w:rPr>
        <w:t xml:space="preserve">s </w:t>
      </w:r>
      <w:r w:rsidR="0080011C">
        <w:rPr>
          <w:rFonts w:asciiTheme="minorHAnsi" w:eastAsiaTheme="minorEastAsia" w:hAnsiTheme="minorHAnsi" w:cstheme="minorBidi"/>
          <w:color w:val="auto"/>
          <w:sz w:val="22"/>
          <w:szCs w:val="22"/>
        </w:rPr>
        <w:t>the baseline</w:t>
      </w:r>
      <w:r w:rsidR="007E609B">
        <w:rPr>
          <w:rFonts w:asciiTheme="minorHAnsi" w:eastAsiaTheme="minorEastAsia" w:hAnsiTheme="minorHAnsi" w:cstheme="minorBidi"/>
          <w:color w:val="auto"/>
          <w:sz w:val="22"/>
          <w:szCs w:val="22"/>
        </w:rPr>
        <w:t>.</w:t>
      </w:r>
      <w:r w:rsidR="0080011C">
        <w:rPr>
          <w:rFonts w:asciiTheme="minorHAnsi" w:eastAsiaTheme="minorEastAsia" w:hAnsiTheme="minorHAnsi" w:cstheme="minorBidi"/>
          <w:color w:val="auto"/>
          <w:sz w:val="22"/>
          <w:szCs w:val="22"/>
        </w:rPr>
        <w:t xml:space="preserve"> To tradeoff the performance and cost, whether choosing one or two SSS symbols to measure the S-RSRP could be left </w:t>
      </w:r>
      <w:r w:rsidR="00BA3C35">
        <w:rPr>
          <w:rFonts w:asciiTheme="minorHAnsi" w:eastAsiaTheme="minorEastAsia" w:hAnsiTheme="minorHAnsi" w:cstheme="minorBidi"/>
          <w:color w:val="auto"/>
          <w:sz w:val="22"/>
          <w:szCs w:val="22"/>
        </w:rPr>
        <w:t xml:space="preserve">to </w:t>
      </w:r>
      <w:r w:rsidR="0080011C">
        <w:rPr>
          <w:rFonts w:asciiTheme="minorHAnsi" w:eastAsiaTheme="minorEastAsia" w:hAnsiTheme="minorHAnsi" w:cstheme="minorBidi"/>
          <w:color w:val="auto"/>
          <w:sz w:val="22"/>
          <w:szCs w:val="22"/>
        </w:rPr>
        <w:t>UE itself.</w:t>
      </w:r>
    </w:p>
    <w:p w14:paraId="65533D44" w14:textId="25032E29" w:rsidR="007C5F0A" w:rsidRDefault="00BA1D77" w:rsidP="0080011C">
      <w:pPr>
        <w:rPr>
          <w:b/>
          <w:i/>
        </w:rPr>
      </w:pPr>
      <w:bookmarkStart w:id="8" w:name="_Ref16263840"/>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5</w:t>
      </w:r>
      <w:r w:rsidRPr="00226EF3">
        <w:rPr>
          <w:b/>
          <w:i/>
        </w:rPr>
        <w:fldChar w:fldCharType="end"/>
      </w:r>
      <w:r w:rsidRPr="00226EF3">
        <w:rPr>
          <w:b/>
          <w:i/>
        </w:rPr>
        <w:t>:</w:t>
      </w:r>
      <w:r>
        <w:rPr>
          <w:b/>
          <w:i/>
        </w:rPr>
        <w:t xml:space="preserve"> RAN4 should </w:t>
      </w:r>
      <w:r w:rsidR="00D852B6">
        <w:rPr>
          <w:b/>
          <w:i/>
        </w:rPr>
        <w:t>re-use current NR</w:t>
      </w:r>
      <w:r w:rsidR="0086541B">
        <w:rPr>
          <w:b/>
          <w:i/>
        </w:rPr>
        <w:t xml:space="preserve"> intra-frequency</w:t>
      </w:r>
      <w:r w:rsidR="007E609B">
        <w:rPr>
          <w:b/>
          <w:i/>
        </w:rPr>
        <w:t xml:space="preserve"> RSRP accuracy </w:t>
      </w:r>
      <w:r w:rsidR="00D852B6">
        <w:rPr>
          <w:b/>
          <w:i/>
        </w:rPr>
        <w:t xml:space="preserve">requirement in NR V2X </w:t>
      </w:r>
      <w:r w:rsidR="007E609B">
        <w:rPr>
          <w:b/>
          <w:i/>
        </w:rPr>
        <w:t>based on</w:t>
      </w:r>
      <w:r>
        <w:rPr>
          <w:b/>
          <w:i/>
        </w:rPr>
        <w:t xml:space="preserve"> one symbol SSS</w:t>
      </w:r>
      <w:r w:rsidR="007E609B">
        <w:rPr>
          <w:b/>
          <w:i/>
        </w:rPr>
        <w:t>.</w:t>
      </w:r>
      <w:r w:rsidR="0080011C">
        <w:rPr>
          <w:b/>
          <w:i/>
        </w:rPr>
        <w:t xml:space="preserve"> Whether using more SSS or even PSBCH DMRS is left to UE’s implementation.</w:t>
      </w:r>
      <w:bookmarkEnd w:id="8"/>
    </w:p>
    <w:p w14:paraId="0E386593" w14:textId="0E7A42A5" w:rsidR="00486D1A" w:rsidRDefault="007C5F0A" w:rsidP="00486D1A">
      <w:pPr>
        <w:pStyle w:val="1"/>
        <w:numPr>
          <w:ilvl w:val="0"/>
          <w:numId w:val="2"/>
        </w:numPr>
        <w:rPr>
          <w:rFonts w:ascii="Calibri" w:hAnsi="Calibri"/>
        </w:rPr>
      </w:pPr>
      <w:r>
        <w:rPr>
          <w:rFonts w:ascii="Calibri" w:hAnsi="Calibri"/>
        </w:rPr>
        <w:t>A</w:t>
      </w:r>
      <w:r w:rsidRPr="007C5F0A">
        <w:rPr>
          <w:rFonts w:ascii="Calibri" w:hAnsi="Calibri"/>
        </w:rPr>
        <w:t xml:space="preserve">utonomous </w:t>
      </w:r>
      <w:r>
        <w:rPr>
          <w:rFonts w:ascii="Calibri" w:hAnsi="Calibri"/>
        </w:rPr>
        <w:t>R</w:t>
      </w:r>
      <w:r w:rsidRPr="007C5F0A">
        <w:rPr>
          <w:rFonts w:ascii="Calibri" w:hAnsi="Calibri"/>
        </w:rPr>
        <w:t xml:space="preserve">esource </w:t>
      </w:r>
      <w:r>
        <w:rPr>
          <w:rFonts w:ascii="Calibri" w:hAnsi="Calibri"/>
        </w:rPr>
        <w:t>R</w:t>
      </w:r>
      <w:r w:rsidRPr="007C5F0A">
        <w:rPr>
          <w:rFonts w:ascii="Calibri" w:hAnsi="Calibri"/>
        </w:rPr>
        <w:t>eselection</w:t>
      </w:r>
    </w:p>
    <w:p w14:paraId="1F4BF3EE" w14:textId="783B8917" w:rsidR="007E609B" w:rsidRDefault="007E609B" w:rsidP="00023E1B">
      <w:r>
        <w:t>In legacy LTE</w:t>
      </w:r>
      <w:r w:rsidR="009C58A5">
        <w:t xml:space="preserve"> V2X</w:t>
      </w:r>
      <w:r>
        <w:t>, two measurement metric</w:t>
      </w:r>
      <w:r w:rsidR="002D731D">
        <w:t>es</w:t>
      </w:r>
      <w:r>
        <w:t xml:space="preserve"> </w:t>
      </w:r>
      <w:r w:rsidR="002D731D">
        <w:t xml:space="preserve">are </w:t>
      </w:r>
      <w:r>
        <w:t>used for sidelink UE to autonomously reselect the resource.</w:t>
      </w:r>
    </w:p>
    <w:p w14:paraId="659C68E0" w14:textId="051F1718" w:rsidR="00D33DDB" w:rsidRPr="007E609B" w:rsidRDefault="007E609B" w:rsidP="007E609B">
      <w:pPr>
        <w:pStyle w:val="af3"/>
        <w:numPr>
          <w:ilvl w:val="0"/>
          <w:numId w:val="49"/>
        </w:numPr>
        <w:rPr>
          <w:i/>
          <w:szCs w:val="20"/>
          <w:lang w:eastAsia="x-none"/>
        </w:rPr>
      </w:pPr>
      <w:r w:rsidRPr="007E609B">
        <w:rPr>
          <w:szCs w:val="20"/>
          <w:lang w:eastAsia="x-none"/>
        </w:rPr>
        <w:t>PSSCH-RSRP</w:t>
      </w:r>
    </w:p>
    <w:p w14:paraId="47D9AF18" w14:textId="14C5B25D" w:rsidR="007E609B" w:rsidRPr="00914F81" w:rsidRDefault="007E609B" w:rsidP="007E609B">
      <w:pPr>
        <w:pStyle w:val="af3"/>
        <w:numPr>
          <w:ilvl w:val="0"/>
          <w:numId w:val="49"/>
        </w:numPr>
        <w:rPr>
          <w:i/>
          <w:szCs w:val="20"/>
          <w:lang w:eastAsia="x-none"/>
        </w:rPr>
      </w:pPr>
      <w:r w:rsidRPr="007E609B">
        <w:rPr>
          <w:szCs w:val="20"/>
          <w:lang w:eastAsia="x-none"/>
        </w:rPr>
        <w:t>S-RSSI</w:t>
      </w:r>
    </w:p>
    <w:p w14:paraId="3BA5BFA3" w14:textId="4001E149" w:rsidR="00372D07" w:rsidRDefault="009C58A5" w:rsidP="00A63883">
      <w:pPr>
        <w:jc w:val="both"/>
        <w:rPr>
          <w:highlight w:val="yellow"/>
          <w:lang w:val="en-GB"/>
        </w:rPr>
      </w:pPr>
      <w:r>
        <w:rPr>
          <w:szCs w:val="20"/>
          <w:lang w:eastAsia="x-none"/>
        </w:rPr>
        <w:t>A</w:t>
      </w:r>
      <w:r w:rsidR="00914F81">
        <w:rPr>
          <w:szCs w:val="20"/>
          <w:lang w:eastAsia="x-none"/>
        </w:rPr>
        <w:t>ll sidelink communication</w:t>
      </w:r>
      <w:r w:rsidR="00BC1A4F">
        <w:rPr>
          <w:szCs w:val="20"/>
          <w:lang w:eastAsia="x-none"/>
        </w:rPr>
        <w:t>s</w:t>
      </w:r>
      <w:r w:rsidR="00914F81">
        <w:rPr>
          <w:szCs w:val="20"/>
          <w:lang w:eastAsia="x-none"/>
        </w:rPr>
        <w:t xml:space="preserve"> </w:t>
      </w:r>
      <w:r w:rsidR="00BC1A4F">
        <w:rPr>
          <w:szCs w:val="20"/>
          <w:lang w:eastAsia="x-none"/>
        </w:rPr>
        <w:t xml:space="preserve">are </w:t>
      </w:r>
      <w:r w:rsidR="00914F81">
        <w:rPr>
          <w:szCs w:val="20"/>
          <w:lang w:eastAsia="x-none"/>
        </w:rPr>
        <w:t xml:space="preserve">broadcast </w:t>
      </w:r>
      <w:r>
        <w:rPr>
          <w:szCs w:val="20"/>
          <w:lang w:eastAsia="x-none"/>
        </w:rPr>
        <w:t>in LTE V2X</w:t>
      </w:r>
      <w:r w:rsidR="00914F81">
        <w:rPr>
          <w:szCs w:val="20"/>
          <w:lang w:eastAsia="x-none"/>
        </w:rPr>
        <w:t xml:space="preserve">. Thus, the precoding is not used in PSSCH channel. </w:t>
      </w:r>
      <w:r w:rsidR="001D47B1">
        <w:rPr>
          <w:szCs w:val="20"/>
          <w:lang w:eastAsia="x-none"/>
        </w:rPr>
        <w:t xml:space="preserve">In NR V2X, </w:t>
      </w:r>
      <w:r w:rsidR="001D47B1">
        <w:rPr>
          <w:lang w:val="en-GB"/>
        </w:rPr>
        <w:t xml:space="preserve">MIMO transmission will be supported for the unicast communication, which implies that the precoding may be used to the data channel and the associated DMRS. </w:t>
      </w:r>
      <w:r w:rsidR="00372D07">
        <w:rPr>
          <w:lang w:val="en-GB"/>
        </w:rPr>
        <w:t xml:space="preserve">Note that </w:t>
      </w:r>
      <w:r w:rsidR="001D47B1" w:rsidRPr="0004351A">
        <w:rPr>
          <w:lang w:val="en-GB"/>
        </w:rPr>
        <w:t xml:space="preserve">PSSCH-RSRP is used to evaluate the data traffic busy ratio in </w:t>
      </w:r>
      <w:r w:rsidRPr="0004351A">
        <w:rPr>
          <w:lang w:val="en-GB"/>
        </w:rPr>
        <w:t>subframes</w:t>
      </w:r>
      <w:r w:rsidRPr="0004351A">
        <w:rPr>
          <w:position w:val="-14"/>
        </w:rPr>
        <w:object w:dxaOrig="1480" w:dyaOrig="400" w14:anchorId="6B71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pt;height:19.6pt" o:ole="">
            <v:imagedata r:id="rId11" o:title=""/>
          </v:shape>
          <o:OLEObject Type="Embed" ProgID="Equation.3" ShapeID="_x0000_i1025" DrawAspect="Content" ObjectID="_1627472493" r:id="rId12"/>
        </w:object>
      </w:r>
      <w:r w:rsidR="001D47B1" w:rsidRPr="0004351A">
        <w:rPr>
          <w:lang w:val="en-GB"/>
        </w:rPr>
        <w:t xml:space="preserve"> to decide whether exclude the subframe in candidate resources. </w:t>
      </w:r>
      <w:r w:rsidR="00372D07" w:rsidRPr="0004351A">
        <w:rPr>
          <w:lang w:val="en-GB"/>
        </w:rPr>
        <w:t xml:space="preserve">With precoding, UE#1 may observe low RSRP from UE#2 (and vice versa) and then both UE </w:t>
      </w:r>
      <w:r w:rsidR="00673884">
        <w:rPr>
          <w:lang w:val="en-GB"/>
        </w:rPr>
        <w:t>may</w:t>
      </w:r>
      <w:r w:rsidR="0004351A" w:rsidRPr="0004351A">
        <w:rPr>
          <w:lang w:val="en-GB"/>
        </w:rPr>
        <w:t xml:space="preserve"> </w:t>
      </w:r>
      <w:r w:rsidR="00372D07" w:rsidRPr="0004351A">
        <w:rPr>
          <w:lang w:val="en-GB"/>
        </w:rPr>
        <w:t>decide to transmit signals to UE#3 on the same radio resource.</w:t>
      </w:r>
    </w:p>
    <w:p w14:paraId="3504845A" w14:textId="15B29BCB" w:rsidR="00372D07" w:rsidRDefault="00372D07" w:rsidP="0004351A">
      <w:pPr>
        <w:jc w:val="center"/>
        <w:rPr>
          <w:highlight w:val="yellow"/>
          <w:lang w:val="en-GB"/>
        </w:rPr>
      </w:pPr>
      <w:r w:rsidRPr="0004351A">
        <w:rPr>
          <w:noProof/>
        </w:rPr>
        <w:drawing>
          <wp:inline distT="0" distB="0" distL="0" distR="0" wp14:anchorId="6570D14D" wp14:editId="26DF8C7B">
            <wp:extent cx="3050858" cy="19136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360" cy="1920192"/>
                    </a:xfrm>
                    <a:prstGeom prst="rect">
                      <a:avLst/>
                    </a:prstGeom>
                    <a:noFill/>
                    <a:ln>
                      <a:noFill/>
                    </a:ln>
                  </pic:spPr>
                </pic:pic>
              </a:graphicData>
            </a:graphic>
          </wp:inline>
        </w:drawing>
      </w:r>
    </w:p>
    <w:p w14:paraId="7F584790" w14:textId="6509DFCB" w:rsidR="007E609B" w:rsidRDefault="00B612B8" w:rsidP="00A63883">
      <w:pPr>
        <w:jc w:val="both"/>
        <w:rPr>
          <w:lang w:val="en-GB"/>
        </w:rPr>
      </w:pPr>
      <w:r w:rsidRPr="0004351A">
        <w:rPr>
          <w:lang w:val="en-GB"/>
        </w:rPr>
        <w:lastRenderedPageBreak/>
        <w:t>Furthermore, t</w:t>
      </w:r>
      <w:r w:rsidR="001D47B1" w:rsidRPr="0004351A">
        <w:rPr>
          <w:lang w:val="en-GB"/>
        </w:rPr>
        <w:t xml:space="preserve">he UE cannot to </w:t>
      </w:r>
      <w:r w:rsidR="00357DE3" w:rsidRPr="0004351A">
        <w:rPr>
          <w:lang w:val="en-GB"/>
        </w:rPr>
        <w:t xml:space="preserve">know </w:t>
      </w:r>
      <w:r w:rsidR="001D47B1" w:rsidRPr="0004351A">
        <w:rPr>
          <w:lang w:val="en-GB"/>
        </w:rPr>
        <w:t>the reason of higher PSSCH-RSRP is from busy traffic or precoding gain.</w:t>
      </w:r>
      <w:r w:rsidR="001D47B1">
        <w:rPr>
          <w:lang w:val="en-GB"/>
        </w:rPr>
        <w:t xml:space="preserve"> </w:t>
      </w:r>
    </w:p>
    <w:p w14:paraId="5EC313D6" w14:textId="03002EF9" w:rsidR="009C58A5" w:rsidRDefault="009C58A5" w:rsidP="007E609B">
      <w:pPr>
        <w:rPr>
          <w:szCs w:val="20"/>
          <w:lang w:eastAsia="x-none"/>
        </w:rPr>
      </w:pPr>
      <w:bookmarkStart w:id="9" w:name="_Ref16263843"/>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6</w:t>
      </w:r>
      <w:r w:rsidRPr="00226EF3">
        <w:rPr>
          <w:b/>
          <w:i/>
        </w:rPr>
        <w:fldChar w:fldCharType="end"/>
      </w:r>
      <w:r w:rsidRPr="00226EF3">
        <w:rPr>
          <w:b/>
          <w:i/>
        </w:rPr>
        <w:t>:</w:t>
      </w:r>
      <w:r>
        <w:rPr>
          <w:b/>
          <w:i/>
        </w:rPr>
        <w:t xml:space="preserve"> RAN4 should wait RAN1’s decision on which measurement metric should be used in autonomous resource reselection.</w:t>
      </w:r>
      <w:bookmarkEnd w:id="9"/>
    </w:p>
    <w:p w14:paraId="060E6015" w14:textId="5D5CD5AF" w:rsidR="00A63883" w:rsidRDefault="009C58A5" w:rsidP="00A63883">
      <w:pPr>
        <w:jc w:val="both"/>
        <w:rPr>
          <w:szCs w:val="20"/>
          <w:lang w:eastAsia="x-none"/>
        </w:rPr>
      </w:pPr>
      <w:r>
        <w:rPr>
          <w:szCs w:val="20"/>
          <w:lang w:eastAsia="x-none"/>
        </w:rPr>
        <w:t>To evaluate the sub-channel traffic busy ratio, S-RSSI is measured except the 1</w:t>
      </w:r>
      <w:r w:rsidRPr="009C58A5">
        <w:rPr>
          <w:szCs w:val="20"/>
          <w:vertAlign w:val="superscript"/>
          <w:lang w:eastAsia="x-none"/>
        </w:rPr>
        <w:t>st</w:t>
      </w:r>
      <w:r>
        <w:rPr>
          <w:szCs w:val="20"/>
          <w:lang w:eastAsia="x-none"/>
        </w:rPr>
        <w:t xml:space="preserve"> AGC symbol and the last GP symbol in LTE V2X. In NR, the feedback channel</w:t>
      </w:r>
      <w:r w:rsidR="005213B1">
        <w:rPr>
          <w:szCs w:val="20"/>
          <w:lang w:eastAsia="x-none"/>
        </w:rPr>
        <w:t xml:space="preserve"> </w:t>
      </w:r>
      <w:r>
        <w:rPr>
          <w:szCs w:val="20"/>
          <w:lang w:eastAsia="x-none"/>
        </w:rPr>
        <w:t xml:space="preserve">(PSFCH) is introduced to transmit the HARQ feedback in groupcast and unicast communication. </w:t>
      </w:r>
      <w:r w:rsidRPr="00673884">
        <w:rPr>
          <w:szCs w:val="20"/>
          <w:lang w:eastAsia="x-none"/>
        </w:rPr>
        <w:t xml:space="preserve">The feedback channel power would impact the measurement of the data traffic power in S-RSSI measurement metric. </w:t>
      </w:r>
      <w:r w:rsidR="0004351A" w:rsidRPr="00673884">
        <w:rPr>
          <w:szCs w:val="20"/>
          <w:lang w:eastAsia="x-none"/>
        </w:rPr>
        <w:t xml:space="preserve">RAN4 RRM should discuss whether include the PSFCH symbols in </w:t>
      </w:r>
      <w:r w:rsidR="00A63883" w:rsidRPr="00673884">
        <w:rPr>
          <w:szCs w:val="20"/>
          <w:lang w:eastAsia="x-none"/>
        </w:rPr>
        <w:t>S-RSSI measurement metric</w:t>
      </w:r>
      <w:r w:rsidR="0004351A" w:rsidRPr="00673884">
        <w:rPr>
          <w:szCs w:val="20"/>
          <w:lang w:eastAsia="x-none"/>
        </w:rPr>
        <w:t>.</w:t>
      </w:r>
    </w:p>
    <w:p w14:paraId="7C1A81D1" w14:textId="21F33A84" w:rsidR="00914F81" w:rsidRPr="007E609B" w:rsidRDefault="00A63883" w:rsidP="00A63883">
      <w:pPr>
        <w:jc w:val="both"/>
        <w:rPr>
          <w:szCs w:val="20"/>
          <w:lang w:eastAsia="x-none"/>
        </w:rPr>
      </w:pPr>
      <w:bookmarkStart w:id="10" w:name="_Ref16263846"/>
      <w:r w:rsidRPr="00226EF3">
        <w:rPr>
          <w:b/>
          <w:i/>
        </w:rPr>
        <w:t xml:space="preserve">Proposal </w:t>
      </w:r>
      <w:r w:rsidRPr="00226EF3">
        <w:rPr>
          <w:b/>
          <w:i/>
        </w:rPr>
        <w:fldChar w:fldCharType="begin"/>
      </w:r>
      <w:r w:rsidRPr="00226EF3">
        <w:rPr>
          <w:b/>
          <w:i/>
        </w:rPr>
        <w:instrText xml:space="preserve"> SEQ Proposal \* ARABIC </w:instrText>
      </w:r>
      <w:r w:rsidRPr="00226EF3">
        <w:rPr>
          <w:b/>
          <w:i/>
        </w:rPr>
        <w:fldChar w:fldCharType="separate"/>
      </w:r>
      <w:r w:rsidR="001C3D89">
        <w:rPr>
          <w:b/>
          <w:i/>
          <w:noProof/>
        </w:rPr>
        <w:t>7</w:t>
      </w:r>
      <w:r w:rsidRPr="00226EF3">
        <w:rPr>
          <w:b/>
          <w:i/>
        </w:rPr>
        <w:fldChar w:fldCharType="end"/>
      </w:r>
      <w:r w:rsidRPr="00226EF3">
        <w:rPr>
          <w:b/>
          <w:i/>
        </w:rPr>
        <w:t>:</w:t>
      </w:r>
      <w:r>
        <w:rPr>
          <w:b/>
          <w:i/>
        </w:rPr>
        <w:t xml:space="preserve"> </w:t>
      </w:r>
      <w:r w:rsidR="00673884">
        <w:rPr>
          <w:b/>
          <w:i/>
        </w:rPr>
        <w:t>In the definition of S-RSSI measurement, RAN4 should discuss whether to exclude the symbols which is used for feedback channel</w:t>
      </w:r>
      <w:r>
        <w:rPr>
          <w:b/>
          <w:i/>
        </w:rPr>
        <w:t>.</w:t>
      </w:r>
      <w:bookmarkEnd w:id="10"/>
      <w:r w:rsidRPr="007E609B">
        <w:rPr>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CBE859F"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 xml:space="preserve">give an overview for RAN4 spec. </w:t>
      </w:r>
      <w:r w:rsidR="00A63883">
        <w:t>measurement</w:t>
      </w:r>
      <w:r w:rsidR="00023E1B">
        <w:t xml:space="preserve"> </w:t>
      </w:r>
      <w:r w:rsidR="00751465">
        <w:t>impact based on RAN1’s NR V2X design</w:t>
      </w:r>
      <w:r w:rsidR="00B420D5">
        <w:t>.</w:t>
      </w:r>
    </w:p>
    <w:p w14:paraId="48EA7E14" w14:textId="070C01B4" w:rsidR="007E609B" w:rsidRDefault="00F0040F" w:rsidP="004D4225">
      <w:pPr>
        <w:adjustRightInd w:val="0"/>
        <w:snapToGrid w:val="0"/>
        <w:spacing w:before="180" w:after="120"/>
        <w:jc w:val="both"/>
        <w:rPr>
          <w:b/>
        </w:rPr>
      </w:pPr>
      <w:r w:rsidRPr="0004351A">
        <w:rPr>
          <w:b/>
        </w:rPr>
        <w:fldChar w:fldCharType="begin"/>
      </w:r>
      <w:r w:rsidRPr="0004351A">
        <w:rPr>
          <w:b/>
        </w:rPr>
        <w:instrText xml:space="preserve"> REF _Ref16263819 \h </w:instrText>
      </w:r>
      <w:r w:rsidR="0004351A" w:rsidRPr="0004351A">
        <w:rPr>
          <w:b/>
        </w:rPr>
        <w:instrText xml:space="preserve"> \* MERGEFORMAT </w:instrText>
      </w:r>
      <w:r w:rsidRPr="0004351A">
        <w:rPr>
          <w:b/>
        </w:rPr>
      </w:r>
      <w:r w:rsidRPr="0004351A">
        <w:rPr>
          <w:b/>
        </w:rPr>
        <w:fldChar w:fldCharType="separate"/>
      </w:r>
      <w:r w:rsidR="001C3D89" w:rsidRPr="001C3D89">
        <w:rPr>
          <w:b/>
          <w:i/>
        </w:rPr>
        <w:t xml:space="preserve">Observation </w:t>
      </w:r>
      <w:r w:rsidR="001C3D89" w:rsidRPr="001C3D89">
        <w:rPr>
          <w:b/>
          <w:i/>
          <w:noProof/>
        </w:rPr>
        <w:t>1.</w:t>
      </w:r>
      <w:r w:rsidR="001C3D89" w:rsidRPr="001C3D89">
        <w:rPr>
          <w:b/>
          <w:i/>
        </w:rPr>
        <w:t xml:space="preserve"> SS-RSRP is defined based on SSS in NR. DMRS of PBCH is optional.</w:t>
      </w:r>
      <w:r w:rsidRPr="0004351A">
        <w:rPr>
          <w:b/>
        </w:rPr>
        <w:fldChar w:fldCharType="end"/>
      </w:r>
    </w:p>
    <w:p w14:paraId="747D0D48" w14:textId="30057D8F" w:rsidR="00B71040" w:rsidRPr="00B71040" w:rsidRDefault="00B71040" w:rsidP="004D4225">
      <w:pPr>
        <w:adjustRightInd w:val="0"/>
        <w:snapToGrid w:val="0"/>
        <w:spacing w:before="180" w:after="120"/>
        <w:jc w:val="both"/>
        <w:rPr>
          <w:b/>
          <w:i/>
        </w:rPr>
      </w:pPr>
      <w:r w:rsidRPr="00B71040">
        <w:rPr>
          <w:b/>
          <w:i/>
        </w:rPr>
        <w:fldChar w:fldCharType="begin"/>
      </w:r>
      <w:r w:rsidRPr="00B71040">
        <w:rPr>
          <w:b/>
          <w:i/>
        </w:rPr>
        <w:instrText xml:space="preserve"> REF _Ref16774400 \h </w:instrText>
      </w:r>
      <w:r>
        <w:rPr>
          <w:b/>
          <w:i/>
        </w:rPr>
        <w:instrText xml:space="preserve"> \* MERGEFORMAT </w:instrText>
      </w:r>
      <w:r w:rsidRPr="00B71040">
        <w:rPr>
          <w:b/>
          <w:i/>
        </w:rPr>
      </w:r>
      <w:r w:rsidRPr="00B71040">
        <w:rPr>
          <w:b/>
          <w:i/>
        </w:rPr>
        <w:fldChar w:fldCharType="separate"/>
      </w:r>
      <w:r w:rsidR="001C3D89" w:rsidRPr="001C3D89">
        <w:rPr>
          <w:b/>
          <w:i/>
        </w:rPr>
        <w:t>Observation 2: The S-RSRP absolute accuracy difference between two S-SSS symbols and one S-SSS symbol is approximately about 0.2dB when sample number N=2.</w:t>
      </w:r>
      <w:r w:rsidRPr="00B71040">
        <w:rPr>
          <w:b/>
          <w:i/>
        </w:rPr>
        <w:fldChar w:fldCharType="end"/>
      </w:r>
    </w:p>
    <w:p w14:paraId="0F65A9EB" w14:textId="14FD4324" w:rsidR="00F0040F" w:rsidRDefault="00F0040F" w:rsidP="004D4225">
      <w:pPr>
        <w:adjustRightInd w:val="0"/>
        <w:snapToGrid w:val="0"/>
        <w:spacing w:before="180" w:after="120"/>
        <w:jc w:val="both"/>
      </w:pPr>
      <w:r>
        <w:fldChar w:fldCharType="begin"/>
      </w:r>
      <w:r>
        <w:instrText xml:space="preserve"> REF _Ref16263829 \h </w:instrText>
      </w:r>
      <w:r>
        <w:fldChar w:fldCharType="separate"/>
      </w:r>
      <w:r w:rsidR="001C3D89" w:rsidRPr="00226EF3">
        <w:rPr>
          <w:b/>
          <w:i/>
        </w:rPr>
        <w:t xml:space="preserve">Proposal </w:t>
      </w:r>
      <w:r w:rsidR="001C3D89">
        <w:rPr>
          <w:b/>
          <w:i/>
          <w:noProof/>
        </w:rPr>
        <w:t>1</w:t>
      </w:r>
      <w:r w:rsidR="001C3D89" w:rsidRPr="00226EF3">
        <w:rPr>
          <w:b/>
          <w:i/>
        </w:rPr>
        <w:t>:</w:t>
      </w:r>
      <w:r w:rsidR="001C3D89">
        <w:rPr>
          <w:b/>
          <w:i/>
        </w:rPr>
        <w:t xml:space="preserve"> RAN4 should wait </w:t>
      </w:r>
      <w:r w:rsidR="001C3D89" w:rsidRPr="00E74ECD">
        <w:rPr>
          <w:b/>
          <w:i/>
        </w:rPr>
        <w:t>RAN4 RF session and RAN1 to identify which scenarios should be discussed in RRM requirement.</w:t>
      </w:r>
      <w:r>
        <w:fldChar w:fldCharType="end"/>
      </w:r>
    </w:p>
    <w:p w14:paraId="5305703A" w14:textId="236CDDA0" w:rsidR="00F0040F" w:rsidRDefault="00F0040F" w:rsidP="004D4225">
      <w:pPr>
        <w:adjustRightInd w:val="0"/>
        <w:snapToGrid w:val="0"/>
        <w:spacing w:before="180" w:after="120"/>
        <w:jc w:val="both"/>
      </w:pPr>
      <w:r>
        <w:fldChar w:fldCharType="begin"/>
      </w:r>
      <w:r>
        <w:instrText xml:space="preserve"> REF _Ref16253965 \h </w:instrText>
      </w:r>
      <w:r>
        <w:fldChar w:fldCharType="separate"/>
      </w:r>
      <w:r w:rsidR="001C3D89" w:rsidRPr="00226EF3">
        <w:rPr>
          <w:b/>
          <w:i/>
        </w:rPr>
        <w:t xml:space="preserve">Proposal </w:t>
      </w:r>
      <w:r w:rsidR="001C3D89">
        <w:rPr>
          <w:b/>
          <w:i/>
          <w:noProof/>
        </w:rPr>
        <w:t>2</w:t>
      </w:r>
      <w:r w:rsidR="001C3D89" w:rsidRPr="00226EF3">
        <w:rPr>
          <w:b/>
          <w:i/>
        </w:rPr>
        <w:t>:</w:t>
      </w:r>
      <w:r w:rsidR="001C3D89" w:rsidRPr="00AD1682">
        <w:rPr>
          <w:b/>
          <w:i/>
        </w:rPr>
        <w:t xml:space="preserve"> UE </w:t>
      </w:r>
      <w:r w:rsidR="001C3D89">
        <w:rPr>
          <w:b/>
          <w:i/>
        </w:rPr>
        <w:t>is better to</w:t>
      </w:r>
      <w:r w:rsidR="001C3D89" w:rsidRPr="00AD1682">
        <w:rPr>
          <w:b/>
          <w:i/>
        </w:rPr>
        <w:t xml:space="preserve"> choose P</w:t>
      </w:r>
      <w:r w:rsidR="001C3D89">
        <w:rPr>
          <w:b/>
          <w:i/>
        </w:rPr>
        <w:t>C</w:t>
      </w:r>
      <w:r w:rsidR="001C3D89" w:rsidRPr="00AD1682">
        <w:rPr>
          <w:b/>
          <w:i/>
        </w:rPr>
        <w:t>ell or P</w:t>
      </w:r>
      <w:r w:rsidR="001C3D89">
        <w:rPr>
          <w:b/>
          <w:i/>
        </w:rPr>
        <w:t>S</w:t>
      </w:r>
      <w:r w:rsidR="001C3D89" w:rsidRPr="00AD1682">
        <w:rPr>
          <w:b/>
          <w:i/>
        </w:rPr>
        <w:t>cell as synchronization reference source based on their RSRP result</w:t>
      </w:r>
      <w:r w:rsidR="001C3D89">
        <w:rPr>
          <w:b/>
          <w:i/>
        </w:rPr>
        <w:t>s</w:t>
      </w:r>
      <w:r w:rsidR="001C3D89" w:rsidRPr="00AD1682">
        <w:rPr>
          <w:b/>
          <w:i/>
        </w:rPr>
        <w:t>.</w:t>
      </w:r>
      <w:r>
        <w:fldChar w:fldCharType="end"/>
      </w:r>
    </w:p>
    <w:p w14:paraId="227F0E81" w14:textId="7818B8BA" w:rsidR="00F0040F" w:rsidRDefault="00F0040F" w:rsidP="004D4225">
      <w:pPr>
        <w:adjustRightInd w:val="0"/>
        <w:snapToGrid w:val="0"/>
        <w:spacing w:before="180" w:after="120"/>
        <w:jc w:val="both"/>
      </w:pPr>
      <w:r>
        <w:fldChar w:fldCharType="begin"/>
      </w:r>
      <w:r>
        <w:instrText xml:space="preserve"> REF _Ref16263834 \h </w:instrText>
      </w:r>
      <w:r>
        <w:fldChar w:fldCharType="separate"/>
      </w:r>
      <w:r w:rsidR="001C3D89" w:rsidRPr="00226EF3">
        <w:rPr>
          <w:b/>
          <w:i/>
        </w:rPr>
        <w:t xml:space="preserve">Proposal </w:t>
      </w:r>
      <w:r w:rsidR="001C3D89">
        <w:rPr>
          <w:b/>
          <w:i/>
          <w:noProof/>
        </w:rPr>
        <w:t>3</w:t>
      </w:r>
      <w:r w:rsidR="001C3D89" w:rsidRPr="00226EF3">
        <w:rPr>
          <w:b/>
          <w:i/>
        </w:rPr>
        <w:t>:</w:t>
      </w:r>
      <w:r w:rsidR="001C3D89">
        <w:rPr>
          <w:b/>
          <w:i/>
        </w:rPr>
        <w:t xml:space="preserve"> The measurement time could re-use NR intra-frequency measurement with/without gaps time when NR serving cell is used as </w:t>
      </w:r>
      <w:r w:rsidR="001C3D89" w:rsidRPr="008215C8">
        <w:rPr>
          <w:b/>
          <w:i/>
        </w:rPr>
        <w:t>synchronization reference source</w:t>
      </w:r>
      <w:r w:rsidR="001C3D89">
        <w:rPr>
          <w:b/>
          <w:i/>
        </w:rPr>
        <w:t>.</w:t>
      </w:r>
      <w:r>
        <w:fldChar w:fldCharType="end"/>
      </w:r>
    </w:p>
    <w:p w14:paraId="6773AE8E" w14:textId="03E739C4" w:rsidR="00F0040F" w:rsidRDefault="00F0040F" w:rsidP="004D4225">
      <w:pPr>
        <w:adjustRightInd w:val="0"/>
        <w:snapToGrid w:val="0"/>
        <w:spacing w:before="180" w:after="120"/>
        <w:jc w:val="both"/>
      </w:pPr>
      <w:r>
        <w:fldChar w:fldCharType="begin"/>
      </w:r>
      <w:r>
        <w:instrText xml:space="preserve"> REF _Ref16263837 \h </w:instrText>
      </w:r>
      <w:r>
        <w:fldChar w:fldCharType="separate"/>
      </w:r>
      <w:r w:rsidR="001C3D89" w:rsidRPr="00226EF3">
        <w:rPr>
          <w:b/>
          <w:i/>
        </w:rPr>
        <w:t xml:space="preserve">Proposal </w:t>
      </w:r>
      <w:r w:rsidR="001C3D89">
        <w:rPr>
          <w:b/>
          <w:i/>
          <w:noProof/>
        </w:rPr>
        <w:t>4</w:t>
      </w:r>
      <w:r w:rsidR="001C3D89" w:rsidRPr="00226EF3">
        <w:rPr>
          <w:b/>
          <w:i/>
        </w:rPr>
        <w:t>:</w:t>
      </w:r>
      <w:r w:rsidR="001C3D89">
        <w:rPr>
          <w:b/>
          <w:i/>
        </w:rPr>
        <w:t xml:space="preserve"> The evaluation time should be at least 2 times of measurement time for </w:t>
      </w:r>
      <w:r w:rsidR="001C3D89" w:rsidRPr="001300E3">
        <w:rPr>
          <w:b/>
          <w:i/>
        </w:rPr>
        <w:t>initiation/cease of SLSS transmission.</w:t>
      </w:r>
      <w:r>
        <w:fldChar w:fldCharType="end"/>
      </w:r>
    </w:p>
    <w:p w14:paraId="589FD158" w14:textId="21B75006" w:rsidR="00F0040F" w:rsidRDefault="00F0040F" w:rsidP="004D4225">
      <w:pPr>
        <w:adjustRightInd w:val="0"/>
        <w:snapToGrid w:val="0"/>
        <w:spacing w:before="180" w:after="120"/>
        <w:jc w:val="both"/>
      </w:pPr>
      <w:r>
        <w:fldChar w:fldCharType="begin"/>
      </w:r>
      <w:r>
        <w:instrText xml:space="preserve"> REF _Ref16263840 \h </w:instrText>
      </w:r>
      <w:r>
        <w:fldChar w:fldCharType="separate"/>
      </w:r>
      <w:r w:rsidR="001C3D89" w:rsidRPr="00226EF3">
        <w:rPr>
          <w:b/>
          <w:i/>
        </w:rPr>
        <w:t xml:space="preserve">Proposal </w:t>
      </w:r>
      <w:r w:rsidR="001C3D89">
        <w:rPr>
          <w:b/>
          <w:i/>
          <w:noProof/>
        </w:rPr>
        <w:t>5</w:t>
      </w:r>
      <w:r w:rsidR="001C3D89" w:rsidRPr="00226EF3">
        <w:rPr>
          <w:b/>
          <w:i/>
        </w:rPr>
        <w:t>:</w:t>
      </w:r>
      <w:r w:rsidR="001C3D89">
        <w:rPr>
          <w:b/>
          <w:i/>
        </w:rPr>
        <w:t xml:space="preserve"> RAN4 should re-use current NR intra-frequency RSRP accuracy requirement in NR V2X based on one symbol SSS. Whether using more SSS or even PSBCH DMRS is left to UE’s implementation.</w:t>
      </w:r>
      <w:r>
        <w:fldChar w:fldCharType="end"/>
      </w:r>
    </w:p>
    <w:p w14:paraId="1085BC2A" w14:textId="248BF394" w:rsidR="00F0040F" w:rsidRDefault="00F0040F" w:rsidP="004D4225">
      <w:pPr>
        <w:adjustRightInd w:val="0"/>
        <w:snapToGrid w:val="0"/>
        <w:spacing w:before="180" w:after="120"/>
        <w:jc w:val="both"/>
      </w:pPr>
      <w:r>
        <w:fldChar w:fldCharType="begin"/>
      </w:r>
      <w:r>
        <w:instrText xml:space="preserve"> REF _Ref16263843 \h </w:instrText>
      </w:r>
      <w:r>
        <w:fldChar w:fldCharType="separate"/>
      </w:r>
      <w:r w:rsidR="001C3D89" w:rsidRPr="00226EF3">
        <w:rPr>
          <w:b/>
          <w:i/>
        </w:rPr>
        <w:t xml:space="preserve">Proposal </w:t>
      </w:r>
      <w:r w:rsidR="001C3D89">
        <w:rPr>
          <w:b/>
          <w:i/>
          <w:noProof/>
        </w:rPr>
        <w:t>6</w:t>
      </w:r>
      <w:r w:rsidR="001C3D89" w:rsidRPr="00226EF3">
        <w:rPr>
          <w:b/>
          <w:i/>
        </w:rPr>
        <w:t>:</w:t>
      </w:r>
      <w:r w:rsidR="001C3D89">
        <w:rPr>
          <w:b/>
          <w:i/>
        </w:rPr>
        <w:t xml:space="preserve"> RAN4 should wait RAN1’s decision on which measurement metric should be used in autonomous resource reselection.</w:t>
      </w:r>
      <w:r>
        <w:fldChar w:fldCharType="end"/>
      </w:r>
    </w:p>
    <w:p w14:paraId="280C3F8C" w14:textId="6A8CE62D" w:rsidR="00F0040F" w:rsidRDefault="00F0040F" w:rsidP="004D4225">
      <w:pPr>
        <w:adjustRightInd w:val="0"/>
        <w:snapToGrid w:val="0"/>
        <w:spacing w:before="180" w:after="120"/>
        <w:jc w:val="both"/>
      </w:pPr>
      <w:r>
        <w:fldChar w:fldCharType="begin"/>
      </w:r>
      <w:r>
        <w:instrText xml:space="preserve"> REF _Ref16263846 \h </w:instrText>
      </w:r>
      <w:r>
        <w:fldChar w:fldCharType="separate"/>
      </w:r>
      <w:r w:rsidR="001C3D89" w:rsidRPr="00226EF3">
        <w:rPr>
          <w:b/>
          <w:i/>
        </w:rPr>
        <w:t xml:space="preserve">Proposal </w:t>
      </w:r>
      <w:r w:rsidR="001C3D89">
        <w:rPr>
          <w:b/>
          <w:i/>
          <w:noProof/>
        </w:rPr>
        <w:t>7</w:t>
      </w:r>
      <w:r w:rsidR="001C3D89" w:rsidRPr="00226EF3">
        <w:rPr>
          <w:b/>
          <w:i/>
        </w:rPr>
        <w:t>:</w:t>
      </w:r>
      <w:r w:rsidR="001C3D89">
        <w:rPr>
          <w:b/>
          <w:i/>
        </w:rPr>
        <w:t xml:space="preserve"> In the definition of S-RSSI measurement, RAN4 should discuss whether to exclude the symbols which is used for feedback channel.</w:t>
      </w:r>
      <w:r>
        <w:fldChar w:fldCharType="end"/>
      </w:r>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8E4EA" w14:textId="77777777" w:rsidR="00071300" w:rsidRDefault="00071300">
      <w:r>
        <w:separator/>
      </w:r>
    </w:p>
  </w:endnote>
  <w:endnote w:type="continuationSeparator" w:id="0">
    <w:p w14:paraId="3BE982E6" w14:textId="77777777" w:rsidR="00071300" w:rsidRDefault="0007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F22C3" w14:textId="77777777" w:rsidR="00071300" w:rsidRDefault="00071300">
      <w:r>
        <w:separator/>
      </w:r>
    </w:p>
  </w:footnote>
  <w:footnote w:type="continuationSeparator" w:id="0">
    <w:p w14:paraId="2D40E4C4" w14:textId="77777777" w:rsidR="00071300" w:rsidRDefault="00071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74E6B"/>
    <w:multiLevelType w:val="hybridMultilevel"/>
    <w:tmpl w:val="4FB8BFCA"/>
    <w:lvl w:ilvl="0" w:tplc="5212E9D2">
      <w:start w:val="1"/>
      <w:numFmt w:val="bullet"/>
      <w:lvlText w:val="•"/>
      <w:lvlJc w:val="left"/>
      <w:pPr>
        <w:tabs>
          <w:tab w:val="num" w:pos="720"/>
        </w:tabs>
        <w:ind w:left="720" w:hanging="360"/>
      </w:pPr>
      <w:rPr>
        <w:rFonts w:ascii="Arial" w:hAnsi="Arial" w:hint="default"/>
      </w:rPr>
    </w:lvl>
    <w:lvl w:ilvl="1" w:tplc="AB4AB35E" w:tentative="1">
      <w:start w:val="1"/>
      <w:numFmt w:val="bullet"/>
      <w:lvlText w:val="•"/>
      <w:lvlJc w:val="left"/>
      <w:pPr>
        <w:tabs>
          <w:tab w:val="num" w:pos="1440"/>
        </w:tabs>
        <w:ind w:left="1440" w:hanging="360"/>
      </w:pPr>
      <w:rPr>
        <w:rFonts w:ascii="Arial" w:hAnsi="Arial" w:hint="default"/>
      </w:rPr>
    </w:lvl>
    <w:lvl w:ilvl="2" w:tplc="C332E56E" w:tentative="1">
      <w:start w:val="1"/>
      <w:numFmt w:val="bullet"/>
      <w:lvlText w:val="•"/>
      <w:lvlJc w:val="left"/>
      <w:pPr>
        <w:tabs>
          <w:tab w:val="num" w:pos="2160"/>
        </w:tabs>
        <w:ind w:left="2160" w:hanging="360"/>
      </w:pPr>
      <w:rPr>
        <w:rFonts w:ascii="Arial" w:hAnsi="Arial" w:hint="default"/>
      </w:rPr>
    </w:lvl>
    <w:lvl w:ilvl="3" w:tplc="29D8A46C" w:tentative="1">
      <w:start w:val="1"/>
      <w:numFmt w:val="bullet"/>
      <w:lvlText w:val="•"/>
      <w:lvlJc w:val="left"/>
      <w:pPr>
        <w:tabs>
          <w:tab w:val="num" w:pos="2880"/>
        </w:tabs>
        <w:ind w:left="2880" w:hanging="360"/>
      </w:pPr>
      <w:rPr>
        <w:rFonts w:ascii="Arial" w:hAnsi="Arial" w:hint="default"/>
      </w:rPr>
    </w:lvl>
    <w:lvl w:ilvl="4" w:tplc="46884244" w:tentative="1">
      <w:start w:val="1"/>
      <w:numFmt w:val="bullet"/>
      <w:lvlText w:val="•"/>
      <w:lvlJc w:val="left"/>
      <w:pPr>
        <w:tabs>
          <w:tab w:val="num" w:pos="3600"/>
        </w:tabs>
        <w:ind w:left="3600" w:hanging="360"/>
      </w:pPr>
      <w:rPr>
        <w:rFonts w:ascii="Arial" w:hAnsi="Arial" w:hint="default"/>
      </w:rPr>
    </w:lvl>
    <w:lvl w:ilvl="5" w:tplc="78B06856" w:tentative="1">
      <w:start w:val="1"/>
      <w:numFmt w:val="bullet"/>
      <w:lvlText w:val="•"/>
      <w:lvlJc w:val="left"/>
      <w:pPr>
        <w:tabs>
          <w:tab w:val="num" w:pos="4320"/>
        </w:tabs>
        <w:ind w:left="4320" w:hanging="360"/>
      </w:pPr>
      <w:rPr>
        <w:rFonts w:ascii="Arial" w:hAnsi="Arial" w:hint="default"/>
      </w:rPr>
    </w:lvl>
    <w:lvl w:ilvl="6" w:tplc="45BEE4BC" w:tentative="1">
      <w:start w:val="1"/>
      <w:numFmt w:val="bullet"/>
      <w:lvlText w:val="•"/>
      <w:lvlJc w:val="left"/>
      <w:pPr>
        <w:tabs>
          <w:tab w:val="num" w:pos="5040"/>
        </w:tabs>
        <w:ind w:left="5040" w:hanging="360"/>
      </w:pPr>
      <w:rPr>
        <w:rFonts w:ascii="Arial" w:hAnsi="Arial" w:hint="default"/>
      </w:rPr>
    </w:lvl>
    <w:lvl w:ilvl="7" w:tplc="8E803D1A" w:tentative="1">
      <w:start w:val="1"/>
      <w:numFmt w:val="bullet"/>
      <w:lvlText w:val="•"/>
      <w:lvlJc w:val="left"/>
      <w:pPr>
        <w:tabs>
          <w:tab w:val="num" w:pos="5760"/>
        </w:tabs>
        <w:ind w:left="5760" w:hanging="360"/>
      </w:pPr>
      <w:rPr>
        <w:rFonts w:ascii="Arial" w:hAnsi="Arial" w:hint="default"/>
      </w:rPr>
    </w:lvl>
    <w:lvl w:ilvl="8" w:tplc="8CDC6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50AC7"/>
    <w:multiLevelType w:val="hybridMultilevel"/>
    <w:tmpl w:val="2D36F12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7"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871502"/>
    <w:multiLevelType w:val="hybridMultilevel"/>
    <w:tmpl w:val="0BA87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2"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3"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5"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003BC"/>
    <w:multiLevelType w:val="hybridMultilevel"/>
    <w:tmpl w:val="F93CFE92"/>
    <w:lvl w:ilvl="0" w:tplc="04090001">
      <w:start w:val="1"/>
      <w:numFmt w:val="bullet"/>
      <w:lvlText w:val=""/>
      <w:lvlJc w:val="left"/>
      <w:pPr>
        <w:ind w:left="935" w:hanging="360"/>
      </w:pPr>
      <w:rPr>
        <w:rFonts w:ascii="Symbol" w:hAnsi="Symbol" w:hint="default"/>
      </w:rPr>
    </w:lvl>
    <w:lvl w:ilvl="1" w:tplc="04090003" w:tentative="1">
      <w:start w:val="1"/>
      <w:numFmt w:val="bullet"/>
      <w:lvlText w:val="o"/>
      <w:lvlJc w:val="left"/>
      <w:pPr>
        <w:ind w:left="1655" w:hanging="360"/>
      </w:pPr>
      <w:rPr>
        <w:rFonts w:ascii="Courier New" w:hAnsi="Courier New" w:cs="Courier New" w:hint="default"/>
      </w:rPr>
    </w:lvl>
    <w:lvl w:ilvl="2" w:tplc="04090005" w:tentative="1">
      <w:start w:val="1"/>
      <w:numFmt w:val="bullet"/>
      <w:lvlText w:val=""/>
      <w:lvlJc w:val="left"/>
      <w:pPr>
        <w:ind w:left="2375" w:hanging="360"/>
      </w:pPr>
      <w:rPr>
        <w:rFonts w:ascii="Wingdings" w:hAnsi="Wingdings" w:hint="default"/>
      </w:rPr>
    </w:lvl>
    <w:lvl w:ilvl="3" w:tplc="04090001" w:tentative="1">
      <w:start w:val="1"/>
      <w:numFmt w:val="bullet"/>
      <w:lvlText w:val=""/>
      <w:lvlJc w:val="left"/>
      <w:pPr>
        <w:ind w:left="3095" w:hanging="360"/>
      </w:pPr>
      <w:rPr>
        <w:rFonts w:ascii="Symbol" w:hAnsi="Symbol" w:hint="default"/>
      </w:rPr>
    </w:lvl>
    <w:lvl w:ilvl="4" w:tplc="04090003" w:tentative="1">
      <w:start w:val="1"/>
      <w:numFmt w:val="bullet"/>
      <w:lvlText w:val="o"/>
      <w:lvlJc w:val="left"/>
      <w:pPr>
        <w:ind w:left="3815" w:hanging="360"/>
      </w:pPr>
      <w:rPr>
        <w:rFonts w:ascii="Courier New" w:hAnsi="Courier New" w:cs="Courier New" w:hint="default"/>
      </w:rPr>
    </w:lvl>
    <w:lvl w:ilvl="5" w:tplc="04090005" w:tentative="1">
      <w:start w:val="1"/>
      <w:numFmt w:val="bullet"/>
      <w:lvlText w:val=""/>
      <w:lvlJc w:val="left"/>
      <w:pPr>
        <w:ind w:left="4535" w:hanging="360"/>
      </w:pPr>
      <w:rPr>
        <w:rFonts w:ascii="Wingdings" w:hAnsi="Wingdings" w:hint="default"/>
      </w:rPr>
    </w:lvl>
    <w:lvl w:ilvl="6" w:tplc="04090001" w:tentative="1">
      <w:start w:val="1"/>
      <w:numFmt w:val="bullet"/>
      <w:lvlText w:val=""/>
      <w:lvlJc w:val="left"/>
      <w:pPr>
        <w:ind w:left="5255" w:hanging="360"/>
      </w:pPr>
      <w:rPr>
        <w:rFonts w:ascii="Symbol" w:hAnsi="Symbol" w:hint="default"/>
      </w:rPr>
    </w:lvl>
    <w:lvl w:ilvl="7" w:tplc="04090003" w:tentative="1">
      <w:start w:val="1"/>
      <w:numFmt w:val="bullet"/>
      <w:lvlText w:val="o"/>
      <w:lvlJc w:val="left"/>
      <w:pPr>
        <w:ind w:left="5975" w:hanging="360"/>
      </w:pPr>
      <w:rPr>
        <w:rFonts w:ascii="Courier New" w:hAnsi="Courier New" w:cs="Courier New" w:hint="default"/>
      </w:rPr>
    </w:lvl>
    <w:lvl w:ilvl="8" w:tplc="04090005" w:tentative="1">
      <w:start w:val="1"/>
      <w:numFmt w:val="bullet"/>
      <w:lvlText w:val=""/>
      <w:lvlJc w:val="left"/>
      <w:pPr>
        <w:ind w:left="6695" w:hanging="360"/>
      </w:pPr>
      <w:rPr>
        <w:rFonts w:ascii="Wingdings" w:hAnsi="Wingdings" w:hint="default"/>
      </w:rPr>
    </w:lvl>
  </w:abstractNum>
  <w:abstractNum w:abstractNumId="2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5B940661"/>
    <w:multiLevelType w:val="hybridMultilevel"/>
    <w:tmpl w:val="DA0CB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99434F"/>
    <w:multiLevelType w:val="hybridMultilevel"/>
    <w:tmpl w:val="E206A558"/>
    <w:lvl w:ilvl="0" w:tplc="9C8C2D92">
      <w:start w:val="1"/>
      <w:numFmt w:val="bullet"/>
      <w:lvlText w:val="-"/>
      <w:lvlJc w:val="left"/>
      <w:pPr>
        <w:tabs>
          <w:tab w:val="num" w:pos="720"/>
        </w:tabs>
        <w:ind w:left="720" w:hanging="360"/>
      </w:pPr>
      <w:rPr>
        <w:rFonts w:ascii="Arial" w:hAnsi="Arial" w:hint="default"/>
      </w:rPr>
    </w:lvl>
    <w:lvl w:ilvl="1" w:tplc="AB72D0DA" w:tentative="1">
      <w:start w:val="1"/>
      <w:numFmt w:val="bullet"/>
      <w:lvlText w:val="-"/>
      <w:lvlJc w:val="left"/>
      <w:pPr>
        <w:tabs>
          <w:tab w:val="num" w:pos="1440"/>
        </w:tabs>
        <w:ind w:left="1440" w:hanging="360"/>
      </w:pPr>
      <w:rPr>
        <w:rFonts w:ascii="Arial" w:hAnsi="Arial" w:hint="default"/>
      </w:rPr>
    </w:lvl>
    <w:lvl w:ilvl="2" w:tplc="D382B59A">
      <w:start w:val="1"/>
      <w:numFmt w:val="bullet"/>
      <w:lvlText w:val="-"/>
      <w:lvlJc w:val="left"/>
      <w:pPr>
        <w:tabs>
          <w:tab w:val="num" w:pos="2160"/>
        </w:tabs>
        <w:ind w:left="2160" w:hanging="360"/>
      </w:pPr>
      <w:rPr>
        <w:rFonts w:ascii="Arial" w:hAnsi="Arial" w:hint="default"/>
      </w:rPr>
    </w:lvl>
    <w:lvl w:ilvl="3" w:tplc="46B04FD6" w:tentative="1">
      <w:start w:val="1"/>
      <w:numFmt w:val="bullet"/>
      <w:lvlText w:val="-"/>
      <w:lvlJc w:val="left"/>
      <w:pPr>
        <w:tabs>
          <w:tab w:val="num" w:pos="2880"/>
        </w:tabs>
        <w:ind w:left="2880" w:hanging="360"/>
      </w:pPr>
      <w:rPr>
        <w:rFonts w:ascii="Arial" w:hAnsi="Arial" w:hint="default"/>
      </w:rPr>
    </w:lvl>
    <w:lvl w:ilvl="4" w:tplc="53CAF932" w:tentative="1">
      <w:start w:val="1"/>
      <w:numFmt w:val="bullet"/>
      <w:lvlText w:val="-"/>
      <w:lvlJc w:val="left"/>
      <w:pPr>
        <w:tabs>
          <w:tab w:val="num" w:pos="3600"/>
        </w:tabs>
        <w:ind w:left="3600" w:hanging="360"/>
      </w:pPr>
      <w:rPr>
        <w:rFonts w:ascii="Arial" w:hAnsi="Arial" w:hint="default"/>
      </w:rPr>
    </w:lvl>
    <w:lvl w:ilvl="5" w:tplc="98EC245E" w:tentative="1">
      <w:start w:val="1"/>
      <w:numFmt w:val="bullet"/>
      <w:lvlText w:val="-"/>
      <w:lvlJc w:val="left"/>
      <w:pPr>
        <w:tabs>
          <w:tab w:val="num" w:pos="4320"/>
        </w:tabs>
        <w:ind w:left="4320" w:hanging="360"/>
      </w:pPr>
      <w:rPr>
        <w:rFonts w:ascii="Arial" w:hAnsi="Arial" w:hint="default"/>
      </w:rPr>
    </w:lvl>
    <w:lvl w:ilvl="6" w:tplc="95AEB1CE" w:tentative="1">
      <w:start w:val="1"/>
      <w:numFmt w:val="bullet"/>
      <w:lvlText w:val="-"/>
      <w:lvlJc w:val="left"/>
      <w:pPr>
        <w:tabs>
          <w:tab w:val="num" w:pos="5040"/>
        </w:tabs>
        <w:ind w:left="5040" w:hanging="360"/>
      </w:pPr>
      <w:rPr>
        <w:rFonts w:ascii="Arial" w:hAnsi="Arial" w:hint="default"/>
      </w:rPr>
    </w:lvl>
    <w:lvl w:ilvl="7" w:tplc="B24CB4A0" w:tentative="1">
      <w:start w:val="1"/>
      <w:numFmt w:val="bullet"/>
      <w:lvlText w:val="-"/>
      <w:lvlJc w:val="left"/>
      <w:pPr>
        <w:tabs>
          <w:tab w:val="num" w:pos="5760"/>
        </w:tabs>
        <w:ind w:left="5760" w:hanging="360"/>
      </w:pPr>
      <w:rPr>
        <w:rFonts w:ascii="Arial" w:hAnsi="Arial" w:hint="default"/>
      </w:rPr>
    </w:lvl>
    <w:lvl w:ilvl="8" w:tplc="FC8C2C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D836E8"/>
    <w:multiLevelType w:val="hybridMultilevel"/>
    <w:tmpl w:val="39F284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2A938C7"/>
    <w:multiLevelType w:val="hybridMultilevel"/>
    <w:tmpl w:val="E33C3198"/>
    <w:lvl w:ilvl="0" w:tplc="22B00C10">
      <w:start w:val="1"/>
      <w:numFmt w:val="bullet"/>
      <w:lvlText w:val="-"/>
      <w:lvlJc w:val="left"/>
      <w:pPr>
        <w:tabs>
          <w:tab w:val="num" w:pos="720"/>
        </w:tabs>
        <w:ind w:left="720" w:hanging="360"/>
      </w:pPr>
      <w:rPr>
        <w:rFonts w:ascii="Arial" w:hAnsi="Arial" w:hint="default"/>
      </w:rPr>
    </w:lvl>
    <w:lvl w:ilvl="1" w:tplc="3168AFD8" w:tentative="1">
      <w:start w:val="1"/>
      <w:numFmt w:val="bullet"/>
      <w:lvlText w:val="-"/>
      <w:lvlJc w:val="left"/>
      <w:pPr>
        <w:tabs>
          <w:tab w:val="num" w:pos="1440"/>
        </w:tabs>
        <w:ind w:left="1440" w:hanging="360"/>
      </w:pPr>
      <w:rPr>
        <w:rFonts w:ascii="Arial" w:hAnsi="Arial" w:hint="default"/>
      </w:rPr>
    </w:lvl>
    <w:lvl w:ilvl="2" w:tplc="60DC344A">
      <w:start w:val="1"/>
      <w:numFmt w:val="bullet"/>
      <w:lvlText w:val="-"/>
      <w:lvlJc w:val="left"/>
      <w:pPr>
        <w:tabs>
          <w:tab w:val="num" w:pos="2160"/>
        </w:tabs>
        <w:ind w:left="2160" w:hanging="360"/>
      </w:pPr>
      <w:rPr>
        <w:rFonts w:ascii="Arial" w:hAnsi="Arial" w:hint="default"/>
      </w:rPr>
    </w:lvl>
    <w:lvl w:ilvl="3" w:tplc="7FE013C2" w:tentative="1">
      <w:start w:val="1"/>
      <w:numFmt w:val="bullet"/>
      <w:lvlText w:val="-"/>
      <w:lvlJc w:val="left"/>
      <w:pPr>
        <w:tabs>
          <w:tab w:val="num" w:pos="2880"/>
        </w:tabs>
        <w:ind w:left="2880" w:hanging="360"/>
      </w:pPr>
      <w:rPr>
        <w:rFonts w:ascii="Arial" w:hAnsi="Arial" w:hint="default"/>
      </w:rPr>
    </w:lvl>
    <w:lvl w:ilvl="4" w:tplc="492819C4" w:tentative="1">
      <w:start w:val="1"/>
      <w:numFmt w:val="bullet"/>
      <w:lvlText w:val="-"/>
      <w:lvlJc w:val="left"/>
      <w:pPr>
        <w:tabs>
          <w:tab w:val="num" w:pos="3600"/>
        </w:tabs>
        <w:ind w:left="3600" w:hanging="360"/>
      </w:pPr>
      <w:rPr>
        <w:rFonts w:ascii="Arial" w:hAnsi="Arial" w:hint="default"/>
      </w:rPr>
    </w:lvl>
    <w:lvl w:ilvl="5" w:tplc="FA344B4A" w:tentative="1">
      <w:start w:val="1"/>
      <w:numFmt w:val="bullet"/>
      <w:lvlText w:val="-"/>
      <w:lvlJc w:val="left"/>
      <w:pPr>
        <w:tabs>
          <w:tab w:val="num" w:pos="4320"/>
        </w:tabs>
        <w:ind w:left="4320" w:hanging="360"/>
      </w:pPr>
      <w:rPr>
        <w:rFonts w:ascii="Arial" w:hAnsi="Arial" w:hint="default"/>
      </w:rPr>
    </w:lvl>
    <w:lvl w:ilvl="6" w:tplc="AADE831C" w:tentative="1">
      <w:start w:val="1"/>
      <w:numFmt w:val="bullet"/>
      <w:lvlText w:val="-"/>
      <w:lvlJc w:val="left"/>
      <w:pPr>
        <w:tabs>
          <w:tab w:val="num" w:pos="5040"/>
        </w:tabs>
        <w:ind w:left="5040" w:hanging="360"/>
      </w:pPr>
      <w:rPr>
        <w:rFonts w:ascii="Arial" w:hAnsi="Arial" w:hint="default"/>
      </w:rPr>
    </w:lvl>
    <w:lvl w:ilvl="7" w:tplc="591282FC" w:tentative="1">
      <w:start w:val="1"/>
      <w:numFmt w:val="bullet"/>
      <w:lvlText w:val="-"/>
      <w:lvlJc w:val="left"/>
      <w:pPr>
        <w:tabs>
          <w:tab w:val="num" w:pos="5760"/>
        </w:tabs>
        <w:ind w:left="5760" w:hanging="360"/>
      </w:pPr>
      <w:rPr>
        <w:rFonts w:ascii="Arial" w:hAnsi="Arial" w:hint="default"/>
      </w:rPr>
    </w:lvl>
    <w:lvl w:ilvl="8" w:tplc="90AEE30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41"/>
  </w:num>
  <w:num w:numId="3">
    <w:abstractNumId w:val="19"/>
  </w:num>
  <w:num w:numId="4">
    <w:abstractNumId w:val="18"/>
  </w:num>
  <w:num w:numId="5">
    <w:abstractNumId w:val="1"/>
  </w:num>
  <w:num w:numId="6">
    <w:abstractNumId w:val="0"/>
  </w:num>
  <w:num w:numId="7">
    <w:abstractNumId w:val="17"/>
  </w:num>
  <w:num w:numId="8">
    <w:abstractNumId w:val="12"/>
  </w:num>
  <w:num w:numId="9">
    <w:abstractNumId w:val="4"/>
  </w:num>
  <w:num w:numId="10">
    <w:abstractNumId w:val="22"/>
  </w:num>
  <w:num w:numId="11">
    <w:abstractNumId w:val="28"/>
  </w:num>
  <w:num w:numId="12">
    <w:abstractNumId w:val="21"/>
  </w:num>
  <w:num w:numId="13">
    <w:abstractNumId w:val="7"/>
  </w:num>
  <w:num w:numId="14">
    <w:abstractNumId w:val="37"/>
  </w:num>
  <w:num w:numId="15">
    <w:abstractNumId w:val="40"/>
  </w:num>
  <w:num w:numId="16">
    <w:abstractNumId w:val="26"/>
  </w:num>
  <w:num w:numId="17">
    <w:abstractNumId w:val="15"/>
  </w:num>
  <w:num w:numId="18">
    <w:abstractNumId w:val="32"/>
  </w:num>
  <w:num w:numId="19">
    <w:abstractNumId w:val="31"/>
  </w:num>
  <w:num w:numId="20">
    <w:abstractNumId w:val="32"/>
  </w:num>
  <w:num w:numId="21">
    <w:abstractNumId w:val="32"/>
  </w:num>
  <w:num w:numId="22">
    <w:abstractNumId w:val="43"/>
  </w:num>
  <w:num w:numId="23">
    <w:abstractNumId w:val="35"/>
  </w:num>
  <w:num w:numId="24">
    <w:abstractNumId w:val="44"/>
  </w:num>
  <w:num w:numId="25">
    <w:abstractNumId w:val="14"/>
  </w:num>
  <w:num w:numId="26">
    <w:abstractNumId w:val="39"/>
  </w:num>
  <w:num w:numId="27">
    <w:abstractNumId w:val="32"/>
  </w:num>
  <w:num w:numId="28">
    <w:abstractNumId w:val="45"/>
  </w:num>
  <w:num w:numId="29">
    <w:abstractNumId w:val="9"/>
  </w:num>
  <w:num w:numId="30">
    <w:abstractNumId w:val="25"/>
  </w:num>
  <w:num w:numId="31">
    <w:abstractNumId w:val="20"/>
  </w:num>
  <w:num w:numId="32">
    <w:abstractNumId w:val="5"/>
  </w:num>
  <w:num w:numId="33">
    <w:abstractNumId w:val="8"/>
  </w:num>
  <w:num w:numId="34">
    <w:abstractNumId w:val="42"/>
  </w:num>
  <w:num w:numId="35">
    <w:abstractNumId w:val="23"/>
  </w:num>
  <w:num w:numId="36">
    <w:abstractNumId w:val="24"/>
  </w:num>
  <w:num w:numId="37">
    <w:abstractNumId w:val="3"/>
  </w:num>
  <w:num w:numId="38">
    <w:abstractNumId w:val="11"/>
  </w:num>
  <w:num w:numId="39">
    <w:abstractNumId w:val="10"/>
  </w:num>
  <w:num w:numId="40">
    <w:abstractNumId w:val="13"/>
  </w:num>
  <w:num w:numId="41">
    <w:abstractNumId w:val="38"/>
  </w:num>
  <w:num w:numId="42">
    <w:abstractNumId w:val="16"/>
  </w:num>
  <w:num w:numId="43">
    <w:abstractNumId w:val="34"/>
  </w:num>
  <w:num w:numId="44">
    <w:abstractNumId w:val="33"/>
  </w:num>
  <w:num w:numId="45">
    <w:abstractNumId w:val="27"/>
  </w:num>
  <w:num w:numId="46">
    <w:abstractNumId w:val="30"/>
  </w:num>
  <w:num w:numId="47">
    <w:abstractNumId w:val="2"/>
  </w:num>
  <w:num w:numId="48">
    <w:abstractNumId w:val="29"/>
  </w:num>
  <w:num w:numId="4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E6C"/>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51A"/>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300"/>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CE0"/>
    <w:rsid w:val="000F6E42"/>
    <w:rsid w:val="000F787E"/>
    <w:rsid w:val="000F7B27"/>
    <w:rsid w:val="000F7BA3"/>
    <w:rsid w:val="00100AE8"/>
    <w:rsid w:val="0010118D"/>
    <w:rsid w:val="0010129E"/>
    <w:rsid w:val="001012B9"/>
    <w:rsid w:val="001013EB"/>
    <w:rsid w:val="00101475"/>
    <w:rsid w:val="001014C7"/>
    <w:rsid w:val="00101AAD"/>
    <w:rsid w:val="00101CAE"/>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2D7"/>
    <w:rsid w:val="001273A9"/>
    <w:rsid w:val="00127D01"/>
    <w:rsid w:val="00130026"/>
    <w:rsid w:val="001300E3"/>
    <w:rsid w:val="001305EF"/>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1AD3"/>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3D89"/>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49B"/>
    <w:rsid w:val="001D4501"/>
    <w:rsid w:val="001D47B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32F"/>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948"/>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583"/>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31D"/>
    <w:rsid w:val="002D7417"/>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6F33"/>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1F2"/>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DE3"/>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D07"/>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A6D"/>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0F1"/>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07EEA"/>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54A"/>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469"/>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58B"/>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3B1"/>
    <w:rsid w:val="00521BFC"/>
    <w:rsid w:val="00522281"/>
    <w:rsid w:val="00522956"/>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11E"/>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2D4"/>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3D8"/>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5F2F"/>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152"/>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B09"/>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41"/>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884"/>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4C2"/>
    <w:rsid w:val="006A054A"/>
    <w:rsid w:val="006A0665"/>
    <w:rsid w:val="006A0AA7"/>
    <w:rsid w:val="006A0C90"/>
    <w:rsid w:val="006A0DB6"/>
    <w:rsid w:val="006A11FB"/>
    <w:rsid w:val="006A1828"/>
    <w:rsid w:val="006A1EEA"/>
    <w:rsid w:val="006A2545"/>
    <w:rsid w:val="006A2588"/>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81E"/>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7DC"/>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5F0A"/>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09B"/>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11C"/>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5C8"/>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908"/>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41B"/>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87CEC"/>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215"/>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BE0"/>
    <w:rsid w:val="00914C32"/>
    <w:rsid w:val="00914F81"/>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B47"/>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8C5"/>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233"/>
    <w:rsid w:val="009C357D"/>
    <w:rsid w:val="009C360D"/>
    <w:rsid w:val="009C38DD"/>
    <w:rsid w:val="009C3AD7"/>
    <w:rsid w:val="009C3D52"/>
    <w:rsid w:val="009C46E7"/>
    <w:rsid w:val="009C4EB2"/>
    <w:rsid w:val="009C51D5"/>
    <w:rsid w:val="009C56FA"/>
    <w:rsid w:val="009C57B6"/>
    <w:rsid w:val="009C58A5"/>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B8D"/>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883"/>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F16"/>
    <w:rsid w:val="00A92FB2"/>
    <w:rsid w:val="00A938E6"/>
    <w:rsid w:val="00A93B69"/>
    <w:rsid w:val="00A93FE5"/>
    <w:rsid w:val="00A940D0"/>
    <w:rsid w:val="00A943B4"/>
    <w:rsid w:val="00A94D20"/>
    <w:rsid w:val="00A9520A"/>
    <w:rsid w:val="00A9526E"/>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682"/>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2EB"/>
    <w:rsid w:val="00AF5C0F"/>
    <w:rsid w:val="00AF7CF9"/>
    <w:rsid w:val="00AF7EBA"/>
    <w:rsid w:val="00B0019B"/>
    <w:rsid w:val="00B007B6"/>
    <w:rsid w:val="00B00DF2"/>
    <w:rsid w:val="00B013AE"/>
    <w:rsid w:val="00B016E1"/>
    <w:rsid w:val="00B01737"/>
    <w:rsid w:val="00B0186B"/>
    <w:rsid w:val="00B0191E"/>
    <w:rsid w:val="00B03208"/>
    <w:rsid w:val="00B034D1"/>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96E"/>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093"/>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12B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40"/>
    <w:rsid w:val="00B71077"/>
    <w:rsid w:val="00B7162F"/>
    <w:rsid w:val="00B718D8"/>
    <w:rsid w:val="00B7244D"/>
    <w:rsid w:val="00B7267A"/>
    <w:rsid w:val="00B72F96"/>
    <w:rsid w:val="00B73176"/>
    <w:rsid w:val="00B73286"/>
    <w:rsid w:val="00B735B8"/>
    <w:rsid w:val="00B73AA5"/>
    <w:rsid w:val="00B73B8A"/>
    <w:rsid w:val="00B7468F"/>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1D77"/>
    <w:rsid w:val="00BA2066"/>
    <w:rsid w:val="00BA2794"/>
    <w:rsid w:val="00BA3C35"/>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1A4F"/>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17FCC"/>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354"/>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1C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5"/>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959"/>
    <w:rsid w:val="00D56BA7"/>
    <w:rsid w:val="00D56CD1"/>
    <w:rsid w:val="00D573E5"/>
    <w:rsid w:val="00D57814"/>
    <w:rsid w:val="00D603DD"/>
    <w:rsid w:val="00D6048B"/>
    <w:rsid w:val="00D606C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52B6"/>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0A2"/>
    <w:rsid w:val="00DA1A5F"/>
    <w:rsid w:val="00DA1AD9"/>
    <w:rsid w:val="00DA1D95"/>
    <w:rsid w:val="00DA1E27"/>
    <w:rsid w:val="00DA2007"/>
    <w:rsid w:val="00DA26A2"/>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71C"/>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0DE6"/>
    <w:rsid w:val="00E71C13"/>
    <w:rsid w:val="00E72A27"/>
    <w:rsid w:val="00E73C4D"/>
    <w:rsid w:val="00E7403B"/>
    <w:rsid w:val="00E743B6"/>
    <w:rsid w:val="00E74E22"/>
    <w:rsid w:val="00E74ECD"/>
    <w:rsid w:val="00E754C1"/>
    <w:rsid w:val="00E754FB"/>
    <w:rsid w:val="00E757F7"/>
    <w:rsid w:val="00E75ADB"/>
    <w:rsid w:val="00E7616C"/>
    <w:rsid w:val="00E7628C"/>
    <w:rsid w:val="00E762EF"/>
    <w:rsid w:val="00E769B6"/>
    <w:rsid w:val="00E76CDF"/>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641"/>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40F"/>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1C4"/>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A62"/>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DC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235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6235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6235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TALChar">
    <w:name w:val="TAL Char"/>
    <w:rsid w:val="00615F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4270877">
      <w:bodyDiv w:val="1"/>
      <w:marLeft w:val="0"/>
      <w:marRight w:val="0"/>
      <w:marTop w:val="0"/>
      <w:marBottom w:val="0"/>
      <w:divBdr>
        <w:top w:val="none" w:sz="0" w:space="0" w:color="auto"/>
        <w:left w:val="none" w:sz="0" w:space="0" w:color="auto"/>
        <w:bottom w:val="none" w:sz="0" w:space="0" w:color="auto"/>
        <w:right w:val="none" w:sz="0" w:space="0" w:color="auto"/>
      </w:divBdr>
      <w:divsChild>
        <w:div w:id="496728833">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1173-EA10-4E51-B9A4-62B056C7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2019-08-13T06:08:00Z</dcterms:created>
  <dcterms:modified xsi:type="dcterms:W3CDTF">2019-08-16T06:54:00Z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